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F5DEB">
      <w:pPr>
        <w:ind w:firstLine="720"/>
        <w:jc w:val="both"/>
      </w:pPr>
      <w:r>
        <w:rPr>
          <w:rStyle w:val="a3"/>
        </w:rPr>
        <w:fldChar w:fldCharType="begin"/>
      </w:r>
      <w:r>
        <w:rPr>
          <w:rStyle w:val="a3"/>
        </w:rPr>
        <w:instrText>HYPERLINK "http://garant.mipcnet.org/docu</w:instrText>
      </w:r>
      <w:r>
        <w:rPr>
          <w:rStyle w:val="a3"/>
        </w:rPr>
        <w:instrText>ment?id=54963278&amp;sub=0"</w:instrText>
      </w:r>
      <w:r w:rsidR="00D00263">
        <w:rPr>
          <w:rStyle w:val="a3"/>
        </w:rPr>
      </w:r>
      <w:r>
        <w:rPr>
          <w:rStyle w:val="a3"/>
        </w:rPr>
        <w:fldChar w:fldCharType="separate"/>
      </w:r>
      <w:r>
        <w:rPr>
          <w:rStyle w:val="a4"/>
          <w:b/>
          <w:bCs/>
        </w:rPr>
        <w:t>Организация приобрела дизельное топливо для собственных нужд (получена счет-фактура и товарная накладная). Так как у организации нет своей емкости для хранения, с продавцом заключен договор хранения. Приобретенное дизельное топливо у</w:t>
      </w:r>
      <w:r>
        <w:rPr>
          <w:rStyle w:val="a4"/>
          <w:b/>
          <w:bCs/>
        </w:rPr>
        <w:t>читывается в организации в качестве МПЗ.</w:t>
      </w:r>
      <w:r>
        <w:rPr>
          <w:rStyle w:val="a3"/>
        </w:rPr>
        <w:fldChar w:fldCharType="end"/>
      </w:r>
    </w:p>
    <w:p w:rsidR="00000000" w:rsidRDefault="00CF5DEB">
      <w:pPr>
        <w:ind w:firstLine="720"/>
        <w:jc w:val="both"/>
      </w:pPr>
      <w:r>
        <w:rPr>
          <w:rStyle w:val="a3"/>
        </w:rPr>
        <w:t>Какие бухгалтерские записи будут сделаны при передаче на хранение дизельного топлива?</w:t>
      </w:r>
    </w:p>
    <w:p w:rsidR="00000000" w:rsidRDefault="00CF5DEB">
      <w:pPr>
        <w:ind w:firstLine="720"/>
        <w:jc w:val="both"/>
      </w:pPr>
    </w:p>
    <w:p w:rsidR="00000000" w:rsidRDefault="00CF5DEB">
      <w:pPr>
        <w:ind w:firstLine="720"/>
        <w:jc w:val="both"/>
      </w:pPr>
      <w:r>
        <w:t xml:space="preserve">Согласно </w:t>
      </w:r>
      <w:hyperlink r:id="rId4" w:history="1">
        <w:r>
          <w:rPr>
            <w:rStyle w:val="a4"/>
          </w:rPr>
          <w:t>п. 1 ст. 886</w:t>
        </w:r>
      </w:hyperlink>
      <w:r>
        <w:t xml:space="preserve"> ГК РФ по договору хранения одна сторона (хранитель) обязуется хранить вещь, переданную ей другой стороной (поклажедателем), и возвратить эту вещь в сохранности.</w:t>
      </w:r>
    </w:p>
    <w:p w:rsidR="00000000" w:rsidRDefault="00CF5DEB">
      <w:pPr>
        <w:ind w:firstLine="720"/>
        <w:jc w:val="both"/>
      </w:pPr>
      <w:r>
        <w:t>Правила формирования в бухгалтерском учете организаций (за исключением кредитных организаций и</w:t>
      </w:r>
      <w:r>
        <w:t xml:space="preserve"> бюджетных учреждений) информации о материально-производственных запасах (далее - МПЗ) установлены:</w:t>
      </w:r>
    </w:p>
    <w:p w:rsidR="00000000" w:rsidRDefault="00CF5DEB">
      <w:pPr>
        <w:ind w:firstLine="720"/>
        <w:jc w:val="both"/>
      </w:pPr>
      <w:r>
        <w:t xml:space="preserve">- </w:t>
      </w:r>
      <w:hyperlink r:id="rId5" w:history="1">
        <w:r>
          <w:rPr>
            <w:rStyle w:val="a4"/>
          </w:rPr>
          <w:t>Планом счетов</w:t>
        </w:r>
      </w:hyperlink>
      <w:r>
        <w:t xml:space="preserve"> бухгалтерского учета и инструкцией по его применению, утвержденным </w:t>
      </w:r>
      <w:hyperlink r:id="rId6" w:history="1">
        <w:r>
          <w:rPr>
            <w:rStyle w:val="a4"/>
          </w:rPr>
          <w:t>приказом</w:t>
        </w:r>
      </w:hyperlink>
      <w:r>
        <w:t xml:space="preserve"> Минфина России от 31.10.2000 N 94н (далее - План счетов);</w:t>
      </w:r>
    </w:p>
    <w:p w:rsidR="00000000" w:rsidRDefault="00CF5DEB">
      <w:pPr>
        <w:ind w:firstLine="720"/>
        <w:jc w:val="both"/>
      </w:pPr>
      <w:r>
        <w:t xml:space="preserve">- </w:t>
      </w:r>
      <w:hyperlink r:id="rId7" w:history="1">
        <w:r>
          <w:rPr>
            <w:rStyle w:val="a4"/>
          </w:rPr>
          <w:t>ПБУ 5/01</w:t>
        </w:r>
      </w:hyperlink>
      <w:r>
        <w:t xml:space="preserve"> "Учет материально-производственных запасов";</w:t>
      </w:r>
    </w:p>
    <w:p w:rsidR="00000000" w:rsidRDefault="00CF5DEB">
      <w:pPr>
        <w:ind w:firstLine="720"/>
        <w:jc w:val="both"/>
      </w:pPr>
      <w:r>
        <w:t xml:space="preserve">- </w:t>
      </w:r>
      <w:hyperlink r:id="rId8" w:history="1">
        <w:r>
          <w:rPr>
            <w:rStyle w:val="a4"/>
          </w:rPr>
          <w:t>Методическими указаниями</w:t>
        </w:r>
      </w:hyperlink>
      <w:r>
        <w:t xml:space="preserve"> по бухгалтерскому учету материально-производственных запасов, утвержденными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Минфи</w:t>
      </w:r>
      <w:r>
        <w:t>на России от 28.12.2001 N 119н (далее - Указания 119н).</w:t>
      </w:r>
    </w:p>
    <w:p w:rsidR="00000000" w:rsidRDefault="00CF5DEB">
      <w:pPr>
        <w:ind w:firstLine="720"/>
        <w:jc w:val="both"/>
      </w:pPr>
      <w:r>
        <w:t xml:space="preserve">Согласно </w:t>
      </w:r>
      <w:hyperlink r:id="rId10" w:history="1">
        <w:r>
          <w:rPr>
            <w:rStyle w:val="a4"/>
          </w:rPr>
          <w:t>Инструкции</w:t>
        </w:r>
      </w:hyperlink>
      <w:r>
        <w:t xml:space="preserve"> по применению Плана счетов бухгалтерского учета для обобщения информации о наличии и движении сырья, материало</w:t>
      </w:r>
      <w:r>
        <w:t xml:space="preserve">в, топлива, запасных частей, инвентаря и хозяйственных принадлежностей, тары и т.п. ценностей организации предназначен </w:t>
      </w:r>
      <w:hyperlink r:id="rId11" w:history="1">
        <w:r>
          <w:rPr>
            <w:rStyle w:val="a4"/>
          </w:rPr>
          <w:t>счет 10</w:t>
        </w:r>
      </w:hyperlink>
      <w:r>
        <w:t xml:space="preserve"> "Материалы". Аналитический учет по </w:t>
      </w:r>
      <w:hyperlink r:id="rId12" w:history="1">
        <w:r>
          <w:rPr>
            <w:rStyle w:val="a4"/>
          </w:rPr>
          <w:t>счету 10</w:t>
        </w:r>
      </w:hyperlink>
      <w:r>
        <w:t xml:space="preserve"> "Материалы" ведется по местам хранения материалов и отдельным их наименованиям (видам, сортам, размерам и т.д.). Материалы учитываются на </w:t>
      </w:r>
      <w:hyperlink r:id="rId13" w:history="1">
        <w:r>
          <w:rPr>
            <w:rStyle w:val="a4"/>
          </w:rPr>
          <w:t>сч</w:t>
        </w:r>
        <w:r>
          <w:rPr>
            <w:rStyle w:val="a4"/>
          </w:rPr>
          <w:t>ете 10</w:t>
        </w:r>
      </w:hyperlink>
      <w:r>
        <w:t xml:space="preserve"> по фактической себестоимости их приобретения (заготовления) или по учетным ценам. Аналитический учет по </w:t>
      </w:r>
      <w:hyperlink r:id="rId14" w:history="1">
        <w:r>
          <w:rPr>
            <w:rStyle w:val="a4"/>
          </w:rPr>
          <w:t>счету 10</w:t>
        </w:r>
      </w:hyperlink>
      <w:r>
        <w:t xml:space="preserve"> ведется по местам хранения материалов и отдельным их наименования</w:t>
      </w:r>
      <w:r>
        <w:t>м (видам, сортам, размерам и т.д.).</w:t>
      </w:r>
    </w:p>
    <w:p w:rsidR="00000000" w:rsidRDefault="00CF5DEB">
      <w:pPr>
        <w:ind w:firstLine="720"/>
        <w:jc w:val="both"/>
      </w:pPr>
      <w:r>
        <w:t xml:space="preserve">Отметим, что в соответствии с </w:t>
      </w:r>
      <w:hyperlink r:id="rId15" w:history="1">
        <w:r>
          <w:rPr>
            <w:rStyle w:val="a4"/>
          </w:rPr>
          <w:t>п. 7</w:t>
        </w:r>
      </w:hyperlink>
      <w:r>
        <w:t xml:space="preserve"> Указаний 119н одним из основных требований, предъявляемых к бухгалтерскому учету МПЗ, является сплошное, непрерывное</w:t>
      </w:r>
      <w:r>
        <w:t xml:space="preserve"> и полное отражение движения (прихода, расхода, перемещения) и наличия запасов.</w:t>
      </w:r>
    </w:p>
    <w:p w:rsidR="00000000" w:rsidRDefault="00CF5DEB">
      <w:pPr>
        <w:ind w:firstLine="720"/>
        <w:jc w:val="both"/>
      </w:pPr>
      <w:r>
        <w:t>Таким образом, если организация-покупатель передает приобретенные материалы на ответственное хранение, то это операция должна быть отражена в бухгалтерском учете.</w:t>
      </w:r>
    </w:p>
    <w:p w:rsidR="00000000" w:rsidRDefault="00CF5DEB">
      <w:pPr>
        <w:ind w:firstLine="720"/>
        <w:jc w:val="both"/>
      </w:pPr>
      <w:r>
        <w:t xml:space="preserve">При передаче </w:t>
      </w:r>
      <w:r>
        <w:t>материалов на хранение реализации не происходит, так как право собственности к хранителю не переходит (</w:t>
      </w:r>
      <w:hyperlink r:id="rId16" w:history="1">
        <w:r>
          <w:rPr>
            <w:rStyle w:val="a4"/>
          </w:rPr>
          <w:t>ст. 39</w:t>
        </w:r>
      </w:hyperlink>
      <w:r>
        <w:t xml:space="preserve"> НК РФ). Следовательно, материалы, переданные на хранение, по-прежнему будут уч</w:t>
      </w:r>
      <w:r>
        <w:t>итываться на балансе организации-покупателя.</w:t>
      </w:r>
    </w:p>
    <w:p w:rsidR="00000000" w:rsidRDefault="00CF5DEB">
      <w:pPr>
        <w:ind w:firstLine="720"/>
        <w:jc w:val="both"/>
      </w:pPr>
      <w:hyperlink r:id="rId17" w:history="1">
        <w:r>
          <w:rPr>
            <w:rStyle w:val="a4"/>
          </w:rPr>
          <w:t>План счетов</w:t>
        </w:r>
      </w:hyperlink>
      <w:r>
        <w:t xml:space="preserve"> не предусматривает отдельного счета для отражения информации о материалах, переданных на хранение. В то же время в соответствии с</w:t>
      </w:r>
      <w:r>
        <w:t xml:space="preserve"> Планом счетов организация, в случае возникновения определенных фактов хозяйственной деятельности, имеет право дополнять типовую схему корреспонденции счетов. Также организация вправе уточнять содержание </w:t>
      </w:r>
      <w:r>
        <w:lastRenderedPageBreak/>
        <w:t>субсчетов, приведенных в Плане счетов, в том числе и</w:t>
      </w:r>
      <w:r>
        <w:t>сключать, объединять и вводить дополнительные субсчета.</w:t>
      </w:r>
    </w:p>
    <w:p w:rsidR="00000000" w:rsidRDefault="00CF5DEB">
      <w:pPr>
        <w:ind w:firstLine="720"/>
        <w:jc w:val="both"/>
      </w:pPr>
      <w:r>
        <w:t xml:space="preserve">Учитывая изложенное, считаем, что для отражения в бухгалтерском учете операции по передаче материалов на хранение, организации следует открыть к </w:t>
      </w:r>
      <w:hyperlink r:id="rId18" w:history="1">
        <w:r>
          <w:rPr>
            <w:rStyle w:val="a4"/>
          </w:rPr>
          <w:t>счету 10</w:t>
        </w:r>
      </w:hyperlink>
      <w:r>
        <w:t xml:space="preserve"> отдельный субсчет, например субcчет "Материалы, переданные на хранение".</w:t>
      </w:r>
    </w:p>
    <w:p w:rsidR="00000000" w:rsidRDefault="00CF5DEB">
      <w:pPr>
        <w:ind w:firstLine="720"/>
        <w:jc w:val="both"/>
      </w:pPr>
      <w:r>
        <w:t>Таким образом, рассматриваемая операция будет отражена в бухгалтерском учете следующим образом:</w:t>
      </w:r>
    </w:p>
    <w:p w:rsidR="00000000" w:rsidRDefault="00CF5DEB">
      <w:pPr>
        <w:ind w:firstLine="720"/>
        <w:jc w:val="both"/>
      </w:pPr>
      <w:r>
        <w:t xml:space="preserve">Дебет </w:t>
      </w:r>
      <w:hyperlink r:id="rId19" w:history="1">
        <w:r>
          <w:rPr>
            <w:rStyle w:val="a4"/>
          </w:rPr>
          <w:t>10</w:t>
        </w:r>
      </w:hyperlink>
      <w:r>
        <w:t xml:space="preserve"> Кредит </w:t>
      </w:r>
      <w:hyperlink r:id="rId20" w:history="1">
        <w:r>
          <w:rPr>
            <w:rStyle w:val="a4"/>
          </w:rPr>
          <w:t>60</w:t>
        </w:r>
      </w:hyperlink>
    </w:p>
    <w:p w:rsidR="00000000" w:rsidRDefault="00CF5DEB">
      <w:pPr>
        <w:ind w:firstLine="720"/>
        <w:jc w:val="both"/>
      </w:pPr>
      <w:r>
        <w:t>- оприходованы приобретенные материалы;</w:t>
      </w:r>
    </w:p>
    <w:p w:rsidR="00000000" w:rsidRDefault="00CF5DEB">
      <w:pPr>
        <w:ind w:firstLine="720"/>
        <w:jc w:val="both"/>
      </w:pPr>
      <w:r>
        <w:t xml:space="preserve">Дебет </w:t>
      </w:r>
      <w:hyperlink r:id="rId21" w:history="1">
        <w:r>
          <w:rPr>
            <w:rStyle w:val="a4"/>
          </w:rPr>
          <w:t>19</w:t>
        </w:r>
      </w:hyperlink>
      <w:r>
        <w:t xml:space="preserve"> Кредит </w:t>
      </w:r>
      <w:hyperlink r:id="rId22" w:history="1">
        <w:r>
          <w:rPr>
            <w:rStyle w:val="a4"/>
          </w:rPr>
          <w:t>60</w:t>
        </w:r>
      </w:hyperlink>
    </w:p>
    <w:p w:rsidR="00000000" w:rsidRDefault="00CF5DEB">
      <w:pPr>
        <w:ind w:firstLine="720"/>
        <w:jc w:val="both"/>
      </w:pPr>
      <w:r>
        <w:t>- учтен НДС, предъявленный поставщиком материалов;</w:t>
      </w:r>
    </w:p>
    <w:p w:rsidR="00000000" w:rsidRDefault="00CF5DEB">
      <w:pPr>
        <w:ind w:firstLine="720"/>
        <w:jc w:val="both"/>
      </w:pPr>
      <w:r>
        <w:t xml:space="preserve">Дебет </w:t>
      </w:r>
      <w:hyperlink r:id="rId23" w:history="1">
        <w:r>
          <w:rPr>
            <w:rStyle w:val="a4"/>
          </w:rPr>
          <w:t>68</w:t>
        </w:r>
      </w:hyperlink>
      <w:r>
        <w:t xml:space="preserve"> Кредит </w:t>
      </w:r>
      <w:hyperlink r:id="rId24" w:history="1">
        <w:r>
          <w:rPr>
            <w:rStyle w:val="a4"/>
          </w:rPr>
          <w:t>19</w:t>
        </w:r>
      </w:hyperlink>
    </w:p>
    <w:p w:rsidR="00000000" w:rsidRDefault="00CF5DEB">
      <w:pPr>
        <w:ind w:firstLine="720"/>
        <w:jc w:val="both"/>
      </w:pPr>
      <w:r>
        <w:t>- принят к вычету НДС</w:t>
      </w:r>
      <w:r>
        <w:t>;</w:t>
      </w:r>
    </w:p>
    <w:p w:rsidR="00000000" w:rsidRDefault="00CF5DEB">
      <w:pPr>
        <w:ind w:firstLine="720"/>
        <w:jc w:val="both"/>
      </w:pPr>
      <w:r>
        <w:t xml:space="preserve">Дебет </w:t>
      </w:r>
      <w:hyperlink r:id="rId25" w:history="1">
        <w:r>
          <w:rPr>
            <w:rStyle w:val="a4"/>
          </w:rPr>
          <w:t>10</w:t>
        </w:r>
      </w:hyperlink>
      <w:r>
        <w:t xml:space="preserve">, субсчет "Материалы, переданные на хранение" Кредит </w:t>
      </w:r>
      <w:hyperlink r:id="rId26" w:history="1">
        <w:r>
          <w:rPr>
            <w:rStyle w:val="a4"/>
          </w:rPr>
          <w:t>10</w:t>
        </w:r>
      </w:hyperlink>
    </w:p>
    <w:p w:rsidR="00000000" w:rsidRDefault="00CF5DEB">
      <w:pPr>
        <w:ind w:firstLine="720"/>
        <w:jc w:val="both"/>
      </w:pPr>
      <w:r>
        <w:t>- материалы переданы на хранение;</w:t>
      </w:r>
    </w:p>
    <w:p w:rsidR="00000000" w:rsidRDefault="00CF5DEB">
      <w:pPr>
        <w:ind w:firstLine="720"/>
        <w:jc w:val="both"/>
      </w:pPr>
      <w:r>
        <w:t xml:space="preserve">Дебет </w:t>
      </w:r>
      <w:hyperlink r:id="rId27" w:history="1">
        <w:r>
          <w:rPr>
            <w:rStyle w:val="a4"/>
          </w:rPr>
          <w:t>20</w:t>
        </w:r>
      </w:hyperlink>
      <w:r>
        <w:t xml:space="preserve"> (</w:t>
      </w:r>
      <w:hyperlink r:id="rId28" w:history="1">
        <w:r>
          <w:rPr>
            <w:rStyle w:val="a4"/>
          </w:rPr>
          <w:t>44</w:t>
        </w:r>
      </w:hyperlink>
      <w:r>
        <w:t xml:space="preserve">) Дебет </w:t>
      </w:r>
      <w:hyperlink r:id="rId29" w:history="1">
        <w:r>
          <w:rPr>
            <w:rStyle w:val="a4"/>
          </w:rPr>
          <w:t>60</w:t>
        </w:r>
      </w:hyperlink>
    </w:p>
    <w:p w:rsidR="00000000" w:rsidRDefault="00CF5DEB">
      <w:pPr>
        <w:ind w:firstLine="720"/>
        <w:jc w:val="both"/>
      </w:pPr>
      <w:r>
        <w:t>- отражены услуги по хранению в качестве расходов</w:t>
      </w:r>
      <w:r>
        <w:t>;</w:t>
      </w:r>
    </w:p>
    <w:p w:rsidR="00000000" w:rsidRDefault="00CF5DEB">
      <w:pPr>
        <w:ind w:firstLine="720"/>
        <w:jc w:val="both"/>
      </w:pPr>
      <w:r>
        <w:t xml:space="preserve">Дебет </w:t>
      </w:r>
      <w:hyperlink r:id="rId30" w:history="1">
        <w:r>
          <w:rPr>
            <w:rStyle w:val="a4"/>
          </w:rPr>
          <w:t>19</w:t>
        </w:r>
      </w:hyperlink>
      <w:r>
        <w:t xml:space="preserve"> Кредит </w:t>
      </w:r>
      <w:hyperlink r:id="rId31" w:history="1">
        <w:r>
          <w:rPr>
            <w:rStyle w:val="a4"/>
          </w:rPr>
          <w:t>60</w:t>
        </w:r>
      </w:hyperlink>
    </w:p>
    <w:p w:rsidR="00000000" w:rsidRDefault="00CF5DEB">
      <w:pPr>
        <w:ind w:firstLine="720"/>
        <w:jc w:val="both"/>
      </w:pPr>
      <w:r>
        <w:t>- учтен НДС, предъявленный к оплате хранителем;</w:t>
      </w:r>
    </w:p>
    <w:p w:rsidR="00000000" w:rsidRDefault="00CF5DEB">
      <w:pPr>
        <w:ind w:firstLine="720"/>
        <w:jc w:val="both"/>
      </w:pPr>
      <w:r>
        <w:t xml:space="preserve">Дебет </w:t>
      </w:r>
      <w:hyperlink r:id="rId32" w:history="1">
        <w:r>
          <w:rPr>
            <w:rStyle w:val="a4"/>
          </w:rPr>
          <w:t>68</w:t>
        </w:r>
      </w:hyperlink>
      <w:r>
        <w:t xml:space="preserve"> Кредит </w:t>
      </w:r>
      <w:hyperlink r:id="rId33" w:history="1">
        <w:r>
          <w:rPr>
            <w:rStyle w:val="a4"/>
          </w:rPr>
          <w:t>19</w:t>
        </w:r>
      </w:hyperlink>
    </w:p>
    <w:p w:rsidR="00000000" w:rsidRDefault="00CF5DEB">
      <w:pPr>
        <w:ind w:firstLine="720"/>
        <w:jc w:val="both"/>
      </w:pPr>
      <w:r>
        <w:t>- принят к вычету НДС;</w:t>
      </w:r>
    </w:p>
    <w:p w:rsidR="00000000" w:rsidRDefault="00CF5DEB">
      <w:pPr>
        <w:ind w:firstLine="720"/>
        <w:jc w:val="both"/>
      </w:pPr>
      <w:r>
        <w:t xml:space="preserve">Дебет </w:t>
      </w:r>
      <w:hyperlink r:id="rId34" w:history="1">
        <w:r>
          <w:rPr>
            <w:rStyle w:val="a4"/>
          </w:rPr>
          <w:t>60</w:t>
        </w:r>
      </w:hyperlink>
      <w:r>
        <w:t xml:space="preserve"> Кредит </w:t>
      </w:r>
      <w:hyperlink r:id="rId35" w:history="1">
        <w:r>
          <w:rPr>
            <w:rStyle w:val="a4"/>
          </w:rPr>
          <w:t>51</w:t>
        </w:r>
      </w:hyperlink>
    </w:p>
    <w:p w:rsidR="00000000" w:rsidRDefault="00CF5DEB">
      <w:pPr>
        <w:ind w:firstLine="720"/>
        <w:jc w:val="both"/>
      </w:pPr>
      <w:r>
        <w:t>- оплачены услуги по хранению.</w:t>
      </w:r>
    </w:p>
    <w:p w:rsidR="00000000" w:rsidRDefault="00CF5DEB">
      <w:pPr>
        <w:ind w:firstLine="720"/>
        <w:jc w:val="both"/>
      </w:pPr>
    </w:p>
    <w:p w:rsidR="00000000" w:rsidRDefault="00CF5DEB">
      <w:pPr>
        <w:ind w:firstLine="720"/>
        <w:jc w:val="right"/>
      </w:pPr>
      <w:r>
        <w:t>Ответ подготовил:</w:t>
      </w:r>
    </w:p>
    <w:p w:rsidR="00000000" w:rsidRDefault="00CF5DEB">
      <w:pPr>
        <w:ind w:firstLine="720"/>
        <w:jc w:val="right"/>
      </w:pPr>
      <w:r>
        <w:t>Эксперт службы Правового консалтинга ГАРАНТ</w:t>
      </w:r>
    </w:p>
    <w:p w:rsidR="00000000" w:rsidRDefault="00CF5DEB">
      <w:pPr>
        <w:ind w:firstLine="720"/>
        <w:jc w:val="right"/>
      </w:pPr>
      <w:r>
        <w:t>член Палаты налоговых консультантов Степовая Яна</w:t>
      </w:r>
    </w:p>
    <w:p w:rsidR="00000000" w:rsidRDefault="00CF5DEB">
      <w:pPr>
        <w:ind w:firstLine="720"/>
        <w:jc w:val="both"/>
      </w:pPr>
    </w:p>
    <w:p w:rsidR="00000000" w:rsidRDefault="00CF5DEB">
      <w:pPr>
        <w:ind w:firstLine="720"/>
        <w:jc w:val="right"/>
      </w:pPr>
      <w:r>
        <w:t>Контроль качества ответа:</w:t>
      </w:r>
    </w:p>
    <w:p w:rsidR="00000000" w:rsidRDefault="00CF5DEB">
      <w:pPr>
        <w:ind w:firstLine="720"/>
        <w:jc w:val="right"/>
      </w:pPr>
      <w:r>
        <w:t>Рецензент служб</w:t>
      </w:r>
      <w:r>
        <w:t>ы Правового консалтинга ГАРАНТ</w:t>
      </w:r>
    </w:p>
    <w:p w:rsidR="00000000" w:rsidRDefault="00CF5DEB">
      <w:pPr>
        <w:ind w:firstLine="720"/>
        <w:jc w:val="right"/>
      </w:pPr>
      <w:r>
        <w:t>аудитор Монако Ольга</w:t>
      </w:r>
    </w:p>
    <w:p w:rsidR="00000000" w:rsidRDefault="00CF5DEB">
      <w:pPr>
        <w:ind w:firstLine="720"/>
        <w:jc w:val="both"/>
      </w:pPr>
    </w:p>
    <w:p w:rsidR="00000000" w:rsidRDefault="00CF5DEB">
      <w:pPr>
        <w:pStyle w:val="afff1"/>
        <w:rPr>
          <w:sz w:val="26"/>
          <w:szCs w:val="26"/>
        </w:rPr>
      </w:pPr>
      <w:r>
        <w:rPr>
          <w:sz w:val="26"/>
          <w:szCs w:val="26"/>
        </w:rPr>
        <w:t>8 ноября 2010 г.</w:t>
      </w:r>
    </w:p>
    <w:p w:rsidR="00000000" w:rsidRDefault="00CF5DEB">
      <w:pPr>
        <w:ind w:firstLine="720"/>
        <w:jc w:val="both"/>
      </w:pPr>
    </w:p>
    <w:p w:rsidR="00000000" w:rsidRDefault="00CF5DEB">
      <w:pPr>
        <w:ind w:firstLine="720"/>
        <w:jc w:val="both"/>
      </w:pPr>
      <w:r>
        <w:t xml:space="preserve">Материал подготовлен на основе индивидуальной письменной консультации, оказанной в рамках услуги </w:t>
      </w:r>
      <w:hyperlink r:id="rId36" w:history="1">
        <w:r>
          <w:rPr>
            <w:rStyle w:val="a4"/>
          </w:rPr>
          <w:t>Правовой консалтинг</w:t>
        </w:r>
      </w:hyperlink>
      <w:r>
        <w:t>. Для получения подробной информации об услуге обратитесь к обслуживающему Вас менеджеру.</w:t>
      </w:r>
    </w:p>
    <w:p w:rsidR="00CF5DEB" w:rsidRDefault="00CF5DEB">
      <w:pPr>
        <w:ind w:firstLine="720"/>
        <w:jc w:val="both"/>
      </w:pPr>
    </w:p>
    <w:sectPr w:rsidR="00CF5DE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263"/>
    <w:rsid w:val="00CF5DEB"/>
    <w:rsid w:val="00D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b w:val="0"/>
      <w:bCs w:val="0"/>
      <w:color w:val="0058A9"/>
    </w:rPr>
  </w:style>
  <w:style w:type="character" w:customStyle="1" w:styleId="aa">
    <w:name w:val="Выделение для Базового Поиска (курсив)"/>
    <w:uiPriority w:val="99"/>
    <w:rPr>
      <w:b w:val="0"/>
      <w:bCs w:val="0"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Pr>
      <w:b w:val="0"/>
      <w:bCs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b w:val="0"/>
      <w:bCs w:val="0"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mipcnet.org/document?id=12025771&amp;sub=10000" TargetMode="External"/><Relationship Id="rId13" Type="http://schemas.openxmlformats.org/officeDocument/2006/relationships/hyperlink" Target="http://garant.mipcnet.org/document?id=12021087&amp;sub=10" TargetMode="External"/><Relationship Id="rId18" Type="http://schemas.openxmlformats.org/officeDocument/2006/relationships/hyperlink" Target="http://garant.mipcnet.org/document?id=12021087&amp;sub=10" TargetMode="External"/><Relationship Id="rId26" Type="http://schemas.openxmlformats.org/officeDocument/2006/relationships/hyperlink" Target="http://garant.mipcnet.org/document?id=12021087&amp;sub=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arant.mipcnet.org/document?id=12021087&amp;sub=19" TargetMode="External"/><Relationship Id="rId34" Type="http://schemas.openxmlformats.org/officeDocument/2006/relationships/hyperlink" Target="http://garant.mipcnet.org/document?id=12021087&amp;sub=60" TargetMode="External"/><Relationship Id="rId7" Type="http://schemas.openxmlformats.org/officeDocument/2006/relationships/hyperlink" Target="http://garant.mipcnet.org/document?id=12023639&amp;sub=1000" TargetMode="External"/><Relationship Id="rId12" Type="http://schemas.openxmlformats.org/officeDocument/2006/relationships/hyperlink" Target="http://garant.mipcnet.org/document?id=12021087&amp;sub=10" TargetMode="External"/><Relationship Id="rId17" Type="http://schemas.openxmlformats.org/officeDocument/2006/relationships/hyperlink" Target="http://garant.mipcnet.org/document?id=12021087&amp;sub=1000" TargetMode="External"/><Relationship Id="rId25" Type="http://schemas.openxmlformats.org/officeDocument/2006/relationships/hyperlink" Target="http://garant.mipcnet.org/document?id=12021087&amp;sub=10" TargetMode="External"/><Relationship Id="rId33" Type="http://schemas.openxmlformats.org/officeDocument/2006/relationships/hyperlink" Target="http://garant.mipcnet.org/document?id=12021087&amp;sub=1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garant.mipcnet.org/document?id=10800200&amp;sub=39" TargetMode="External"/><Relationship Id="rId20" Type="http://schemas.openxmlformats.org/officeDocument/2006/relationships/hyperlink" Target="http://garant.mipcnet.org/document?id=12021087&amp;sub=60" TargetMode="External"/><Relationship Id="rId29" Type="http://schemas.openxmlformats.org/officeDocument/2006/relationships/hyperlink" Target="http://garant.mipcnet.org/document?id=12021087&amp;sub=60" TargetMode="External"/><Relationship Id="rId1" Type="http://schemas.openxmlformats.org/officeDocument/2006/relationships/styles" Target="styles.xml"/><Relationship Id="rId6" Type="http://schemas.openxmlformats.org/officeDocument/2006/relationships/hyperlink" Target="http://garant.mipcnet.org/document?id=12021087&amp;sub=0" TargetMode="External"/><Relationship Id="rId11" Type="http://schemas.openxmlformats.org/officeDocument/2006/relationships/hyperlink" Target="http://garant.mipcnet.org/document?id=12021087&amp;sub=10" TargetMode="External"/><Relationship Id="rId24" Type="http://schemas.openxmlformats.org/officeDocument/2006/relationships/hyperlink" Target="http://garant.mipcnet.org/document?id=12021087&amp;sub=19" TargetMode="External"/><Relationship Id="rId32" Type="http://schemas.openxmlformats.org/officeDocument/2006/relationships/hyperlink" Target="http://garant.mipcnet.org/document?id=12021087&amp;sub=6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garant.mipcnet.org/document?id=12021087&amp;sub=1000" TargetMode="External"/><Relationship Id="rId15" Type="http://schemas.openxmlformats.org/officeDocument/2006/relationships/hyperlink" Target="http://garant.mipcnet.org/document?id=12025771&amp;sub=997" TargetMode="External"/><Relationship Id="rId23" Type="http://schemas.openxmlformats.org/officeDocument/2006/relationships/hyperlink" Target="http://garant.mipcnet.org/document?id=12021087&amp;sub=68" TargetMode="External"/><Relationship Id="rId28" Type="http://schemas.openxmlformats.org/officeDocument/2006/relationships/hyperlink" Target="http://garant.mipcnet.org/document?id=12021087&amp;sub=44" TargetMode="External"/><Relationship Id="rId36" Type="http://schemas.openxmlformats.org/officeDocument/2006/relationships/hyperlink" Target="http://garant.mipcnet.org/document?id=5273641&amp;sub=2560" TargetMode="External"/><Relationship Id="rId10" Type="http://schemas.openxmlformats.org/officeDocument/2006/relationships/hyperlink" Target="http://garant.mipcnet.org/document?id=12021087&amp;sub=2000" TargetMode="External"/><Relationship Id="rId19" Type="http://schemas.openxmlformats.org/officeDocument/2006/relationships/hyperlink" Target="http://garant.mipcnet.org/document?id=12021087&amp;sub=10" TargetMode="External"/><Relationship Id="rId31" Type="http://schemas.openxmlformats.org/officeDocument/2006/relationships/hyperlink" Target="http://garant.mipcnet.org/document?id=12021087&amp;sub=60" TargetMode="External"/><Relationship Id="rId4" Type="http://schemas.openxmlformats.org/officeDocument/2006/relationships/hyperlink" Target="http://garant.mipcnet.org/document?id=10064072&amp;sub=8861" TargetMode="External"/><Relationship Id="rId9" Type="http://schemas.openxmlformats.org/officeDocument/2006/relationships/hyperlink" Target="http://garant.mipcnet.org/document?id=12025771&amp;sub=0" TargetMode="External"/><Relationship Id="rId14" Type="http://schemas.openxmlformats.org/officeDocument/2006/relationships/hyperlink" Target="http://garant.mipcnet.org/document?id=12021087&amp;sub=10" TargetMode="External"/><Relationship Id="rId22" Type="http://schemas.openxmlformats.org/officeDocument/2006/relationships/hyperlink" Target="http://garant.mipcnet.org/document?id=12021087&amp;sub=60" TargetMode="External"/><Relationship Id="rId27" Type="http://schemas.openxmlformats.org/officeDocument/2006/relationships/hyperlink" Target="http://garant.mipcnet.org/document?id=12021087&amp;sub=20" TargetMode="External"/><Relationship Id="rId30" Type="http://schemas.openxmlformats.org/officeDocument/2006/relationships/hyperlink" Target="http://garant.mipcnet.org/document?id=12021087&amp;sub=19" TargetMode="External"/><Relationship Id="rId35" Type="http://schemas.openxmlformats.org/officeDocument/2006/relationships/hyperlink" Target="http://garant.mipcnet.org/document?id=12021087&amp;sub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Филин Сергей Александрович</cp:lastModifiedBy>
  <cp:revision>2</cp:revision>
  <dcterms:created xsi:type="dcterms:W3CDTF">2013-12-30T05:54:00Z</dcterms:created>
  <dcterms:modified xsi:type="dcterms:W3CDTF">2013-12-30T05:54:00Z</dcterms:modified>
</cp:coreProperties>
</file>