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137D8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ment?id=2207390&amp;sub=0"</w:instrText>
      </w:r>
      <w:r w:rsidR="003F39BF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Письмо Министерства регионального развития РФ от 18 июня 2007 г. N 11356-ЮТ/07</w:t>
      </w:r>
      <w:r>
        <w:rPr>
          <w:sz w:val="26"/>
          <w:szCs w:val="26"/>
        </w:rPr>
        <w:fldChar w:fldCharType="end"/>
      </w:r>
    </w:p>
    <w:p w:rsidR="00000000" w:rsidRDefault="006137D8">
      <w:pPr>
        <w:ind w:firstLine="720"/>
        <w:jc w:val="both"/>
      </w:pPr>
    </w:p>
    <w:p w:rsidR="00000000" w:rsidRDefault="006137D8">
      <w:pPr>
        <w:ind w:firstLine="720"/>
        <w:jc w:val="both"/>
      </w:pPr>
      <w:r>
        <w:t xml:space="preserve">Министерство регионального развития Российской Федерации в связи с поступающими запросами от субъектов Российской Федерации по вопросу отнесения </w:t>
      </w:r>
      <w:r>
        <w:t>снабжения электрической энергией помещений общего пользования в многоквартирном доме к составу коммунальной услуги по электроснабжению сообщает.</w:t>
      </w:r>
    </w:p>
    <w:p w:rsidR="00000000" w:rsidRDefault="006137D8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пунктом 1 статьи 157</w:t>
        </w:r>
      </w:hyperlink>
      <w:r>
        <w:t xml:space="preserve"> Жи</w:t>
      </w:r>
      <w:r>
        <w:t>лищного кодекса Российской Федерации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услуг, утверждаемых в порядке, установленном Правительством Россий</w:t>
      </w:r>
      <w:r>
        <w:t>ской Федерации. Правила предоставления коммунальных услуг гражданам устанавливаются Правительством Российской Федерации.</w:t>
      </w:r>
    </w:p>
    <w:p w:rsidR="00000000" w:rsidRDefault="006137D8">
      <w:pPr>
        <w:ind w:firstLine="720"/>
        <w:jc w:val="both"/>
      </w:pPr>
      <w:r>
        <w:t xml:space="preserve">В настоящее время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 xml:space="preserve">от 23 мая 2006 г. N 307 утверждены Правила предоставления коммунальных услуг гражданам (далее - Правила предоставления коммунальных услуг). </w:t>
      </w:r>
      <w:hyperlink r:id="rId6" w:history="1">
        <w:r>
          <w:rPr>
            <w:rStyle w:val="a4"/>
          </w:rPr>
          <w:t>Приложением N 2</w:t>
        </w:r>
      </w:hyperlink>
      <w:r>
        <w:t xml:space="preserve"> Правил предоставления коммунал</w:t>
      </w:r>
      <w:r>
        <w:t>ьных услуг установлен порядок расчета размера платы за коммунальные услуги:</w:t>
      </w:r>
    </w:p>
    <w:p w:rsidR="00000000" w:rsidRDefault="006137D8">
      <w:pPr>
        <w:ind w:firstLine="720"/>
        <w:jc w:val="both"/>
      </w:pPr>
      <w:r>
        <w:t xml:space="preserve">при отсутствии приборов учета с использованием нормативов потребления коммунальных услуг (в отношении электроснабжения - в соответствии с </w:t>
      </w:r>
      <w:hyperlink r:id="rId7" w:history="1">
        <w:r>
          <w:rPr>
            <w:rStyle w:val="a4"/>
          </w:rPr>
          <w:t>подпунктом 3 пункта 1</w:t>
        </w:r>
      </w:hyperlink>
      <w:r>
        <w:t xml:space="preserve"> Приложения N 2 к Правилам предоставления коммунальных услуг).</w:t>
      </w:r>
    </w:p>
    <w:p w:rsidR="00000000" w:rsidRDefault="006137D8">
      <w:pPr>
        <w:ind w:firstLine="720"/>
        <w:jc w:val="both"/>
      </w:pPr>
      <w:r>
        <w:t xml:space="preserve">В соответствии с пунктом 26 Правил установления и определения нормативов потребления коммунальных услуг,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 г. N 306 (далее - Правила установления нормативов), коммунальные услуги, предназначенные для содержания общего имущества в многоквартирном доме, учит</w:t>
      </w:r>
      <w:r>
        <w:t>ываются при установлении нормативов потребления коммунальных услуг для потребителей.</w:t>
      </w:r>
    </w:p>
    <w:p w:rsidR="00000000" w:rsidRDefault="006137D8">
      <w:pPr>
        <w:ind w:firstLine="720"/>
        <w:jc w:val="both"/>
      </w:pPr>
      <w:r>
        <w:t>В отношении электроснабжения примером этого могут служить пункты 24 и 25 приложения к Правилам установления нормативов при определении норматива электроснабжения расчетным</w:t>
      </w:r>
      <w:r>
        <w:t xml:space="preserve"> методом, а также пункт 10 приложения к Правилам установления нормативов, учитывающий в формуле определения норматива электроснабжения с применением метода аналогов и экспертного метода "суммарное потребление электрической энергии в многоквартирных домах и</w:t>
      </w:r>
      <w:r>
        <w:t>ли жилых домах по показаниям коллективных приборов учета";</w:t>
      </w:r>
    </w:p>
    <w:p w:rsidR="00000000" w:rsidRDefault="006137D8">
      <w:pPr>
        <w:ind w:firstLine="720"/>
        <w:jc w:val="both"/>
      </w:pPr>
      <w:r>
        <w:t xml:space="preserve">при оборудовании многоквартирного дома коллективными (общедомовыми) приборами учета и отсутствии индивидуальных и общих (квартирных) приборов учета (в отношении электроснабжения - в соответствии с </w:t>
      </w:r>
      <w:hyperlink r:id="rId9" w:history="1">
        <w:r>
          <w:rPr>
            <w:rStyle w:val="a4"/>
          </w:rPr>
          <w:t>подпунктом 1 пункта 2</w:t>
        </w:r>
      </w:hyperlink>
      <w:r>
        <w:t xml:space="preserve"> Приложения N 2 к Правилам предоставления коммунальных услуг);</w:t>
      </w:r>
    </w:p>
    <w:p w:rsidR="00000000" w:rsidRDefault="006137D8">
      <w:pPr>
        <w:ind w:firstLine="720"/>
        <w:jc w:val="both"/>
      </w:pPr>
      <w:r>
        <w:t>при оборудовании многоквартирного дома коллективными (общедомовыми) приборами учета и отдельных или в</w:t>
      </w:r>
      <w:r>
        <w:t xml:space="preserve">сех помещений в многоквартирном доме индивидуальными и (или) общими (квартирными) приборами учета (в отношении электроснабжения - в соответствии с </w:t>
      </w:r>
      <w:hyperlink r:id="rId10" w:history="1">
        <w:r>
          <w:rPr>
            <w:rStyle w:val="a4"/>
          </w:rPr>
          <w:t>подпунктом 1 пункта 3</w:t>
        </w:r>
      </w:hyperlink>
      <w:r>
        <w:t xml:space="preserve"> Приложения N 2 к</w:t>
      </w:r>
      <w:r>
        <w:t xml:space="preserve"> Правилам предоставления коммунальных услуг).</w:t>
      </w:r>
    </w:p>
    <w:p w:rsidR="00000000" w:rsidRDefault="006137D8">
      <w:pPr>
        <w:ind w:firstLine="720"/>
        <w:jc w:val="both"/>
      </w:pPr>
      <w:r>
        <w:t xml:space="preserve">Согласно пункту 3 Правил предоставления коммунальных услуг </w:t>
      </w:r>
      <w:r>
        <w:lastRenderedPageBreak/>
        <w:t>коллективный (общедомовой) прибор учета - средство измерения, используемое для определения объемов (количества) коммунальных ресурсов, поданных в много</w:t>
      </w:r>
      <w:r>
        <w:t>квартирный дом.</w:t>
      </w:r>
    </w:p>
    <w:p w:rsidR="00000000" w:rsidRDefault="006137D8">
      <w:pPr>
        <w:ind w:firstLine="720"/>
        <w:jc w:val="both"/>
      </w:pPr>
      <w:r>
        <w:t xml:space="preserve">Из установленного </w:t>
      </w:r>
      <w:hyperlink r:id="rId11" w:history="1">
        <w:r>
          <w:rPr>
            <w:rStyle w:val="a4"/>
          </w:rPr>
          <w:t>приложением N 2</w:t>
        </w:r>
      </w:hyperlink>
      <w:r>
        <w:t xml:space="preserve"> к Правилам предоставления коммунальных услуг порядка расчетов следует, что при определении размера платы за коммунальные услуги учитываю</w:t>
      </w:r>
      <w:r>
        <w:t>тся показания коллективных (общедомовых) приборов учета. Следовательно, в составе платы за коммунальные услуги оплачиваются коммунальные ресурсы, потребляемые в помещениях общего пользования.</w:t>
      </w:r>
    </w:p>
    <w:p w:rsidR="00000000" w:rsidRDefault="006137D8">
      <w:pPr>
        <w:ind w:firstLine="720"/>
        <w:jc w:val="both"/>
      </w:pPr>
      <w:r>
        <w:t xml:space="preserve">Используемое в </w:t>
      </w:r>
      <w:hyperlink r:id="rId12" w:history="1">
        <w:r>
          <w:rPr>
            <w:rStyle w:val="a4"/>
          </w:rPr>
          <w:t>подпункте "б" пункта 11</w:t>
        </w:r>
      </w:hyperlink>
      <w:r>
        <w:t xml:space="preserve"> Правил содержания общего имущества в многоквартирном доме,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</w:t>
      </w:r>
      <w:r>
        <w:t> N 491 (далее - Правила содержания общего имущества в многоквартирном доме), понятие "освещение помещений общего пользования" неравнозначно понятию "потребление электрической энергии на работу приборов освещения и оборудования помещений общего пользования"</w:t>
      </w:r>
      <w:r>
        <w:t>. Количество электрической энергии, подаваемой на работу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согласно Правилам предоставления коммунальных усл</w:t>
      </w:r>
      <w:r>
        <w:t xml:space="preserve">уг и </w:t>
      </w:r>
      <w:hyperlink r:id="rId14" w:history="1">
        <w:r>
          <w:rPr>
            <w:rStyle w:val="a4"/>
          </w:rPr>
          <w:t>Правилам</w:t>
        </w:r>
      </w:hyperlink>
      <w:r>
        <w:t xml:space="preserve"> установления нормативов должно оплачиваться в составе платы за коммунальную услугу "электроснабжение".</w:t>
      </w:r>
    </w:p>
    <w:p w:rsidR="00000000" w:rsidRDefault="006137D8">
      <w:pPr>
        <w:ind w:firstLine="720"/>
        <w:jc w:val="both"/>
      </w:pPr>
      <w:r>
        <w:t xml:space="preserve">Понятие "освещение помещений общего пользования", указанное </w:t>
      </w:r>
      <w:hyperlink r:id="rId15" w:history="1">
        <w:r>
          <w:rPr>
            <w:rStyle w:val="a4"/>
          </w:rPr>
          <w:t>подпунктом "б" пункта 11</w:t>
        </w:r>
      </w:hyperlink>
      <w:r>
        <w:t xml:space="preserve"> Правил содержания общего имущества в многоквартирном доме, трактуется в соотнесении с </w:t>
      </w:r>
      <w:hyperlink r:id="rId16" w:history="1">
        <w:r>
          <w:rPr>
            <w:rStyle w:val="a4"/>
          </w:rPr>
          <w:t xml:space="preserve">подпунктом "з" </w:t>
        </w:r>
        <w:r>
          <w:rPr>
            <w:rStyle w:val="a4"/>
          </w:rPr>
          <w:t>пункта 11</w:t>
        </w:r>
      </w:hyperlink>
      <w:r>
        <w:t xml:space="preserve"> Правил содержания общего имущества в многоквартирном доме (то есть как содержание и ремонт электросетей многоквартирного дома, светильников, то есть выполнение работ по созданию условий для подачи электроэнергии в места общего пользования), а </w:t>
      </w:r>
      <w:r>
        <w:t>также с пунктом 13 Правил предоставления коммунальных услуг ("обеспечение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доме").</w:t>
      </w:r>
    </w:p>
    <w:p w:rsidR="00000000" w:rsidRDefault="006137D8">
      <w:pPr>
        <w:ind w:firstLine="720"/>
        <w:jc w:val="both"/>
      </w:pPr>
      <w:r>
        <w:t>Дополнительно соо</w:t>
      </w:r>
      <w:r>
        <w:t xml:space="preserve">бщаем, что в соответствии с </w:t>
      </w:r>
      <w:hyperlink r:id="rId17" w:history="1">
        <w:r>
          <w:rPr>
            <w:rStyle w:val="a4"/>
          </w:rPr>
          <w:t>пунктами 15-19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2004 г. N 109, одной из составляющих, на основе которой рассчитываются тарифы на электрическую энергию, является размер необходимой валовой выручки организации от реализа</w:t>
      </w:r>
      <w:r>
        <w:t>ции каждого вида продукции (услуг), куда включаются, в том числе, расходы, связанные с производством и реализацией продукции (услуг) по регулируемым видам деятельности. При этом расходы на содержание внутридомовых сетей не могут учитываться при формировани</w:t>
      </w:r>
      <w:r>
        <w:t xml:space="preserve">и тарифов на электроэнергию в связи с тем, что границы эксплуатационной ответственности по содержанию сетей при наличии общедомовых приборов учета в многоквартирном доме определяются в соответствии с </w:t>
      </w:r>
      <w:hyperlink r:id="rId19" w:history="1">
        <w:r>
          <w:rPr>
            <w:rStyle w:val="a4"/>
          </w:rPr>
          <w:t>пунктом 8</w:t>
        </w:r>
      </w:hyperlink>
      <w:r>
        <w:t xml:space="preserve"> Правил содержания общего имущества в многоквартирном доме.</w:t>
      </w:r>
    </w:p>
    <w:p w:rsidR="00000000" w:rsidRDefault="006137D8">
      <w:pPr>
        <w:ind w:firstLine="720"/>
        <w:jc w:val="both"/>
      </w:pPr>
      <w:r>
        <w:t>Прошу довести требования законодательства Российской Федерации и настоящие разъяснения до сведения органов местного самоуправления, управляющих организаций, товариществ собс</w:t>
      </w:r>
      <w:r>
        <w:t>твенников жилья и жилищных кооперативов и организаций коммунального комплекса, действующих на территории субъектов Российской Федерации.</w:t>
      </w:r>
    </w:p>
    <w:p w:rsidR="00000000" w:rsidRDefault="006137D8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6137D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137D8" w:rsidRDefault="006137D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137D8" w:rsidRDefault="006137D8">
            <w:pPr>
              <w:pStyle w:val="aff8"/>
              <w:jc w:val="right"/>
              <w:rPr>
                <w:sz w:val="26"/>
                <w:szCs w:val="26"/>
              </w:rPr>
            </w:pPr>
            <w:r w:rsidRPr="006137D8">
              <w:rPr>
                <w:sz w:val="26"/>
                <w:szCs w:val="26"/>
              </w:rPr>
              <w:t>Ю.П. Тыртышов</w:t>
            </w:r>
          </w:p>
        </w:tc>
      </w:tr>
    </w:tbl>
    <w:p w:rsidR="006137D8" w:rsidRDefault="006137D8">
      <w:pPr>
        <w:ind w:firstLine="720"/>
        <w:jc w:val="both"/>
      </w:pPr>
    </w:p>
    <w:sectPr w:rsidR="006137D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9BF"/>
    <w:rsid w:val="003F39BF"/>
    <w:rsid w:val="006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47362&amp;sub=0" TargetMode="External"/><Relationship Id="rId13" Type="http://schemas.openxmlformats.org/officeDocument/2006/relationships/hyperlink" Target="http://garant.mipcnet.org/document?id=12048944&amp;sub=0" TargetMode="External"/><Relationship Id="rId18" Type="http://schemas.openxmlformats.org/officeDocument/2006/relationships/hyperlink" Target="http://garant.mipcnet.org/document?id=86793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ant.mipcnet.org/document?id=12047448&amp;sub=20013" TargetMode="External"/><Relationship Id="rId12" Type="http://schemas.openxmlformats.org/officeDocument/2006/relationships/hyperlink" Target="http://garant.mipcnet.org/document?id=12048944&amp;sub=10112" TargetMode="External"/><Relationship Id="rId17" Type="http://schemas.openxmlformats.org/officeDocument/2006/relationships/hyperlink" Target="http://garant.mipcnet.org/document?id=86793&amp;sub=13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048944&amp;sub=101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47448&amp;sub=1200" TargetMode="External"/><Relationship Id="rId11" Type="http://schemas.openxmlformats.org/officeDocument/2006/relationships/hyperlink" Target="http://garant.mipcnet.org/document?id=12047448&amp;sub=1200" TargetMode="External"/><Relationship Id="rId5" Type="http://schemas.openxmlformats.org/officeDocument/2006/relationships/hyperlink" Target="http://garant.mipcnet.org/document?id=12047448&amp;sub=0" TargetMode="External"/><Relationship Id="rId15" Type="http://schemas.openxmlformats.org/officeDocument/2006/relationships/hyperlink" Target="http://garant.mipcnet.org/document?id=12048944&amp;sub=10112" TargetMode="External"/><Relationship Id="rId10" Type="http://schemas.openxmlformats.org/officeDocument/2006/relationships/hyperlink" Target="http://garant.mipcnet.org/document?id=12047448&amp;sub=20031" TargetMode="External"/><Relationship Id="rId19" Type="http://schemas.openxmlformats.org/officeDocument/2006/relationships/hyperlink" Target="http://garant.mipcnet.org/document?id=12048944&amp;sub=1008" TargetMode="External"/><Relationship Id="rId4" Type="http://schemas.openxmlformats.org/officeDocument/2006/relationships/hyperlink" Target="http://garant.mipcnet.org/document?id=12038291&amp;sub=15701" TargetMode="External"/><Relationship Id="rId9" Type="http://schemas.openxmlformats.org/officeDocument/2006/relationships/hyperlink" Target="http://garant.mipcnet.org/document?id=12047448&amp;sub=20021" TargetMode="External"/><Relationship Id="rId14" Type="http://schemas.openxmlformats.org/officeDocument/2006/relationships/hyperlink" Target="http://garant.mipcnet.org/document?id=1204736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Письмо Министерства регионального развития РФ от 18 июня 2007 г. N 11356-ЮТ/07</vt:lpstr>
    </vt:vector>
  </TitlesOfParts>
  <Company>НПП "Гарант-Сервис"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2013-10-28T08:05:00Z</dcterms:created>
  <dcterms:modified xsi:type="dcterms:W3CDTF">2013-10-28T08:05:00Z</dcterms:modified>
</cp:coreProperties>
</file>