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00947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"http://garant.mipcnet.org/docu</w:instrText>
      </w:r>
      <w:r>
        <w:rPr>
          <w:sz w:val="26"/>
          <w:szCs w:val="26"/>
        </w:rPr>
        <w:instrText>ment?id=5756881&amp;sub=0"</w:instrText>
      </w:r>
      <w:r w:rsidR="00407F27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Кто заплатит за светлые места общего пользования?</w:t>
      </w:r>
      <w:r>
        <w:rPr>
          <w:sz w:val="26"/>
          <w:szCs w:val="26"/>
        </w:rPr>
        <w:fldChar w:fldCharType="end"/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both"/>
      </w:pPr>
      <w:r>
        <w:t xml:space="preserve">Вопрос об оплате за освещение мест общего пользования в последнее время получил довольно широкий резонанс в обществе. С некоторых пор плательщики видят в квитанциях об оплате </w:t>
      </w:r>
      <w:r>
        <w:t>коммунальных услуг строку о размере начисления платы за потребленную в местах общего пользования электроэнергию.</w:t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both"/>
      </w:pPr>
      <w:r>
        <w:rPr>
          <w:rStyle w:val="a3"/>
        </w:rPr>
        <w:t>Комментирует</w:t>
      </w:r>
      <w:r>
        <w:t>:</w:t>
      </w:r>
    </w:p>
    <w:p w:rsidR="00000000" w:rsidRDefault="00F00947">
      <w:pPr>
        <w:ind w:firstLine="720"/>
        <w:jc w:val="both"/>
      </w:pPr>
      <w:r>
        <w:t>Ева Шипунова, к. ю. н., адвокат</w:t>
      </w:r>
    </w:p>
    <w:p w:rsidR="00000000" w:rsidRDefault="00F00947">
      <w:pPr>
        <w:ind w:firstLine="720"/>
        <w:jc w:val="both"/>
      </w:pPr>
      <w:r>
        <w:t>Однако оплата собственниками жилых помещений в многоквартирных домах за энергоснабжение мест общ</w:t>
      </w:r>
      <w:r>
        <w:t>его пользования осуществлялась и ранее. Стоимость энергоснабжения была включена в размер платы за ремонт и обслуживание жилищного фонда.</w:t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both"/>
      </w:pPr>
      <w:r>
        <w:t>Причем во многих случаях ситуация довольно парадоксальная: размер оплаты за лампочки в подъезде доходит до тысячи рубл</w:t>
      </w:r>
      <w:r>
        <w:t xml:space="preserve">ей в месяц, тогда как за свет в квартире - не более сотни, что обоснованно вызывает у населения негативную реакцию. Между тем такие правила новыми назвать сложно: в 2006 году Правительство РФ приняло </w:t>
      </w:r>
      <w:hyperlink r:id="rId4" w:history="1">
        <w:r>
          <w:rPr>
            <w:rStyle w:val="a4"/>
          </w:rPr>
          <w:t>Постановление</w:t>
        </w:r>
      </w:hyperlink>
      <w:r>
        <w:t xml:space="preserve"> N 307 "О предоставлении коммунальных услуг гражданам"</w:t>
      </w:r>
      <w:hyperlink w:anchor="sub_10001" w:history="1">
        <w:r>
          <w:rPr>
            <w:rStyle w:val="a4"/>
          </w:rPr>
          <w:t>*(1)</w:t>
        </w:r>
      </w:hyperlink>
      <w:r>
        <w:t xml:space="preserve">, согласно которому собственники квартир должны полностью оплачивать электроэнергию, потребляемую многоквартирным домом, и перейти на данную схему </w:t>
      </w:r>
      <w:r>
        <w:t xml:space="preserve">расчетов. Кроме того, </w:t>
      </w:r>
      <w:hyperlink r:id="rId5" w:history="1">
        <w:r>
          <w:rPr>
            <w:rStyle w:val="a4"/>
          </w:rPr>
          <w:t>пункт 28</w:t>
        </w:r>
      </w:hyperlink>
      <w:r>
        <w:t xml:space="preserve"> Правил содержания общего имущества в многоквартирном доме,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</w:t>
      </w:r>
      <w:r>
        <w:t>равительства РФ от 13.08.2006 г. N 491, устанавливает, что собственники помещений обязаны нести бремя расходов на содержание общего имущества соразмерно своим долям в праве общей собственности. В этих же Правилах (</w:t>
      </w:r>
      <w:hyperlink r:id="rId7" w:history="1">
        <w:r>
          <w:rPr>
            <w:rStyle w:val="a4"/>
          </w:rPr>
          <w:t>подпункт "б" пункта 11</w:t>
        </w:r>
      </w:hyperlink>
      <w:r>
        <w:t>) указывается, что содержание общего имущества включает в себя освещение помещений общего пользования</w:t>
      </w:r>
      <w:hyperlink w:anchor="sub_10002" w:history="1">
        <w:r>
          <w:rPr>
            <w:rStyle w:val="a4"/>
          </w:rPr>
          <w:t>*(2)</w:t>
        </w:r>
      </w:hyperlink>
      <w:r>
        <w:t>. Таким образом, действия коммунальных служб при начислении платы за потр</w:t>
      </w:r>
      <w:r>
        <w:t>ебленную электрическую энергию за места общего пользования соответствуют действующему законодательству.</w:t>
      </w:r>
    </w:p>
    <w:p w:rsidR="00000000" w:rsidRDefault="00F00947">
      <w:pPr>
        <w:ind w:firstLine="720"/>
        <w:jc w:val="both"/>
      </w:pPr>
      <w:r>
        <w:t>Для того чтобы понять, почему такие действия вызывают путаницу в коммунальных счетах и растущее недовольство населения, необходимо дать ответ на ряд воп</w:t>
      </w:r>
      <w:r>
        <w:t xml:space="preserve">росов. Прежде всего, что понимает законодатель под формулировкой "освещение мест общего пользования"? Многие люди ошибочно полагают, что под этим подразумевается оплата за электроэнергию, "нагоревшую" на лампочках в подъезде. Если же обратиться к </w:t>
      </w:r>
      <w:hyperlink r:id="rId8" w:history="1">
        <w:r>
          <w:rPr>
            <w:rStyle w:val="a4"/>
          </w:rPr>
          <w:t>Письму</w:t>
        </w:r>
      </w:hyperlink>
      <w:r>
        <w:t xml:space="preserve"> Министерства регионального развития РФ от 18.06.2007 г. N 11356-ЮТ/07, становится ясно, что понятие "освещение помещений общего пользования" не равнозначно понятию "потребление электрической э</w:t>
      </w:r>
      <w:r>
        <w:t>нергии на работу приборов освещения и оборудования помещений общего пользования"</w:t>
      </w:r>
      <w:hyperlink w:anchor="sub_10003" w:history="1">
        <w:r>
          <w:rPr>
            <w:rStyle w:val="a4"/>
          </w:rPr>
          <w:t>*(3)</w:t>
        </w:r>
      </w:hyperlink>
      <w:r>
        <w:t>.</w:t>
      </w:r>
    </w:p>
    <w:p w:rsidR="00000000" w:rsidRDefault="00F00947">
      <w:pPr>
        <w:ind w:firstLine="720"/>
        <w:jc w:val="both"/>
      </w:pPr>
      <w:r>
        <w:t xml:space="preserve">Понятие "освещение помещений общего пользования" трактуется в соотнесении с </w:t>
      </w:r>
      <w:hyperlink r:id="rId9" w:history="1">
        <w:r>
          <w:rPr>
            <w:rStyle w:val="a4"/>
          </w:rPr>
          <w:t>подпунктом "з" пункта 11</w:t>
        </w:r>
      </w:hyperlink>
      <w:r>
        <w:t xml:space="preserve"> Правил содержания общего имущества в многоквартирном доме (как содержание и ремонт электросетей многоквартирного дома, светильников, то есть выполнение работ по созданию условий для подачи </w:t>
      </w:r>
      <w:r>
        <w:lastRenderedPageBreak/>
        <w:t>электроэнергии в места общего пользова</w:t>
      </w:r>
      <w:r>
        <w:t>ния), а также с пунктом 13 Правил предоставления коммунальных услуг (обеспечение готовности к предоставлению коммунальных услуг внутридомовых инженерных систем, входящих в состав общего имущества собственников помещений в многоквартирном доме).</w:t>
      </w:r>
    </w:p>
    <w:p w:rsidR="00000000" w:rsidRDefault="00F00947">
      <w:pPr>
        <w:ind w:firstLine="720"/>
        <w:jc w:val="both"/>
      </w:pPr>
      <w:r>
        <w:t>Проще говор</w:t>
      </w:r>
      <w:r>
        <w:t>я, "освещение мест общего пользования многоквартирного дома" включает в себя освещение лестничных площадок, лестниц, чердаков, подвалов, электропитание домофона, усилителей телеантенн коллективного пользования, автоматических запирающих устройств, насосов,</w:t>
      </w:r>
      <w:r>
        <w:t xml:space="preserve"> технологические потери внутридомовых электрических сетей и другого имущества в многоквартирном доме.</w:t>
      </w:r>
    </w:p>
    <w:p w:rsidR="00000000" w:rsidRDefault="00F00947">
      <w:pPr>
        <w:ind w:firstLine="720"/>
        <w:jc w:val="both"/>
      </w:pPr>
      <w:r>
        <w:t>Отдельного внимания заслуживает вопрос о том, как распределяются расходы по оплате электроэнергии, потребленной на общедомовые нужды, между собственниками</w:t>
      </w:r>
      <w:r>
        <w:t xml:space="preserve">. </w:t>
      </w:r>
      <w:hyperlink r:id="rId10" w:history="1">
        <w:r>
          <w:rPr>
            <w:rStyle w:val="a4"/>
          </w:rPr>
          <w:t>Приложение 2</w:t>
        </w:r>
      </w:hyperlink>
      <w:r>
        <w:t xml:space="preserve"> к Правилам предоставления коммунальных услуг определяет порядок расчета платы за электроснабжение в зависимости от наличия общедомовых и индивидуальных приборов учета.</w:t>
      </w:r>
    </w:p>
    <w:p w:rsidR="00000000" w:rsidRDefault="00F00947">
      <w:pPr>
        <w:ind w:firstLine="720"/>
        <w:jc w:val="both"/>
      </w:pPr>
      <w:r>
        <w:t>Рас</w:t>
      </w:r>
      <w:r>
        <w:t xml:space="preserve">смотрим случай, когда на входе в дом установлен коллективный счетчик. Если ни в одном помещении дома нет индивидуального прибора учета, то в соответствии с </w:t>
      </w:r>
      <w:hyperlink r:id="rId11" w:history="1">
        <w:r>
          <w:rPr>
            <w:rStyle w:val="a4"/>
          </w:rPr>
          <w:t>подпунктом 1 пункта 2</w:t>
        </w:r>
      </w:hyperlink>
      <w:r>
        <w:t xml:space="preserve"> Приложе</w:t>
      </w:r>
      <w:r>
        <w:t>ния 2 определять плату за электроснабжение в отношении жилых помещений следует пропорционально числу граждан, проживающих (зарегистрированных) в жилом помещении. Из объема, зафиксированного общедомовым прибором учета, нужно вычесть суммарный объем потребле</w:t>
      </w:r>
      <w:r>
        <w:t xml:space="preserve">ния электроэнергии в нежилых помещениях (кроме помещений общего пользования), например в магазинах, офисах, находящихся на первом этаже дома (такой объем согласно </w:t>
      </w:r>
      <w:hyperlink r:id="rId12" w:history="1">
        <w:r>
          <w:rPr>
            <w:rStyle w:val="a4"/>
          </w:rPr>
          <w:t>пункту 20</w:t>
        </w:r>
      </w:hyperlink>
      <w:r>
        <w:t xml:space="preserve"> Правил предост</w:t>
      </w:r>
      <w:r>
        <w:t xml:space="preserve">авления коммунальных услуг определяется расчетным путем, исходя из мощности потребляющих устройств). Именно эта разница распределяется между собственниками квартир. Следует обратить внимание на то, что в данном случае не применяются нормативы потребления. </w:t>
      </w:r>
      <w:r>
        <w:t>Получается, что плата за электроснабжение квартир может колебаться в течение года.</w:t>
      </w:r>
    </w:p>
    <w:p w:rsidR="00000000" w:rsidRDefault="00F00947">
      <w:pPr>
        <w:ind w:firstLine="720"/>
        <w:jc w:val="both"/>
      </w:pPr>
      <w:r>
        <w:t>Если счетчики есть лишь в части помещений, то алгоритм расчета несколько усложняется (</w:t>
      </w:r>
      <w:hyperlink r:id="rId13" w:history="1">
        <w:r>
          <w:rPr>
            <w:rStyle w:val="a4"/>
          </w:rPr>
          <w:t>подпункт 1 пункта 3</w:t>
        </w:r>
      </w:hyperlink>
      <w:r>
        <w:t xml:space="preserve"> Приложения 2). Во-первых, собственники жилых помещений, не оборудованных приборами учета, оплачивают электроэнергию по нормативам потребления (как если бы в доме не было ни коллективного, ни индивидуальных счетчиков). Во-вторых, обладатели счетчиков до</w:t>
      </w:r>
      <w:r>
        <w:t xml:space="preserve">лжны оплатить объем электроэнергии, отличающийся от зафиксированного индивидуальными счетчиками. Показания их счетчиков должны быть скорректированы на коэффициент, определяемый так: объем электроэнергии по показаниям общедомового счетчика/(суммарный объем </w:t>
      </w:r>
      <w:r>
        <w:t>электроэнергии, измеренной индивидуальными приборами учета + суммарный объем электроэнергии, рассчитанный по нормативам потребления).</w:t>
      </w:r>
    </w:p>
    <w:p w:rsidR="00000000" w:rsidRDefault="00F00947">
      <w:pPr>
        <w:ind w:firstLine="720"/>
        <w:jc w:val="both"/>
      </w:pPr>
      <w:r>
        <w:t>Суть такого подхода заключается в том, что нормативы потребления учитывают и технологические потери во внутридомовых сетях</w:t>
      </w:r>
      <w:r>
        <w:t>, и коммунальные услуги, предназначенные для содержания общего имущества (</w:t>
      </w:r>
      <w:hyperlink r:id="rId14" w:history="1">
        <w:r>
          <w:rPr>
            <w:rStyle w:val="a4"/>
          </w:rPr>
          <w:t>пункты 25</w:t>
        </w:r>
      </w:hyperlink>
      <w:r>
        <w:t xml:space="preserve">, </w:t>
      </w:r>
      <w:hyperlink r:id="rId15" w:history="1">
        <w:r>
          <w:rPr>
            <w:rStyle w:val="a4"/>
          </w:rPr>
          <w:t>26</w:t>
        </w:r>
      </w:hyperlink>
      <w:r>
        <w:t xml:space="preserve"> Правил установления нормативов).</w:t>
      </w:r>
      <w:r>
        <w:t xml:space="preserve"> То есть собственники, для которых плата рассчитывается исходя из норматива потребления, уже оплачивают частичку электроэнергии, потребленной на общедомовые нужды (вводить им отдельную строку "освещение мест общего пользования" незаконно). И, напротив, пок</w:t>
      </w:r>
      <w:r>
        <w:t>азания индивидуальных счетчиков отражают лишь потребление электроэнергии внутри квартиры. Поэтому упомянутый коэффициент и сформирует для таких жильцов плату за электроэнергию с учетом расходов на освещение мест общего пользования.</w:t>
      </w:r>
    </w:p>
    <w:p w:rsidR="00000000" w:rsidRDefault="00F00947">
      <w:pPr>
        <w:ind w:firstLine="720"/>
        <w:jc w:val="both"/>
      </w:pPr>
      <w:r>
        <w:t xml:space="preserve">Если во всех помещениях </w:t>
      </w:r>
      <w:r>
        <w:t>дома, оборудованного коллективным счетчиком, установлены свои приборы учета, то используется аналогичная формула, в которой показатель "Суммарный объем электроэнергии, рассчитанный по нормативам потребления" будет равен нулю. Другими словами, расходы на об</w:t>
      </w:r>
      <w:r>
        <w:t>щедомовую электроэнергию будут распределены пропорционально показаниям индивидуальных счетчиков.</w:t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both"/>
      </w:pPr>
      <w:r>
        <w:rPr>
          <w:rStyle w:val="a3"/>
        </w:rPr>
        <w:t>Комментирует</w:t>
      </w:r>
      <w:r>
        <w:t>:</w:t>
      </w:r>
    </w:p>
    <w:p w:rsidR="00000000" w:rsidRDefault="00F00947">
      <w:pPr>
        <w:ind w:firstLine="720"/>
        <w:jc w:val="both"/>
      </w:pPr>
      <w:r>
        <w:t>Ева Шипунова, к. ю. н., адвокат</w:t>
      </w:r>
    </w:p>
    <w:p w:rsidR="00000000" w:rsidRDefault="00F00947">
      <w:pPr>
        <w:ind w:firstLine="720"/>
        <w:jc w:val="both"/>
      </w:pPr>
      <w:r>
        <w:t>Хотелось бы отметить, что тарифы по оплате варьируются в зависимости от формы управления, избранной жильцами: ТС</w:t>
      </w:r>
      <w:r>
        <w:t>Ж, жилищные кооперативы и управляющие компании (при условии заключения договоров электроснабжения и купли-продажи энергии тариф значительно выше) либо непосредственная форма управления многоквартирным домом</w:t>
      </w:r>
      <w:hyperlink w:anchor="sub_10004" w:history="1">
        <w:r>
          <w:rPr>
            <w:rStyle w:val="a4"/>
          </w:rPr>
          <w:t>*(4)</w:t>
        </w:r>
      </w:hyperlink>
      <w:r>
        <w:t xml:space="preserve">. При этом льготы, </w:t>
      </w:r>
      <w:r>
        <w:t>установленные по коммунальным платежам, распространяются и на оплату электроэнергии, потребленной в местах общего пользования.</w:t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both"/>
      </w:pPr>
      <w:r>
        <w:t>В чем же причина необоснованно завышенных счетов за освещение мест общего пользования? Сотрудники комитетов административно-техн</w:t>
      </w:r>
      <w:r>
        <w:t>ического контроля выделяют четыре фактора, влияющие на выставленные счета: незаконные подключения, потери в сетях, нечистоплотность некоторых жильцов и отсутствие в домах современных счетчиков</w:t>
      </w:r>
      <w:hyperlink w:anchor="sub_10005" w:history="1">
        <w:r>
          <w:rPr>
            <w:rStyle w:val="a4"/>
          </w:rPr>
          <w:t>*(5)</w:t>
        </w:r>
      </w:hyperlink>
      <w:r>
        <w:t>.</w:t>
      </w:r>
    </w:p>
    <w:p w:rsidR="00000000" w:rsidRDefault="00F00947">
      <w:pPr>
        <w:ind w:firstLine="720"/>
        <w:jc w:val="both"/>
      </w:pPr>
      <w:r>
        <w:t>С незаконными подключениями сит</w:t>
      </w:r>
      <w:r>
        <w:t>уация относительно ясна: здесь виноваты владельцы магазинов или офисов, буквально ворующие свет из общей проводки дома. Их можно наказать, хотя это и сложная процедура: о выявленном должен быть составлен акт, передан в милицию, где оформят протокол об адми</w:t>
      </w:r>
      <w:r>
        <w:t>нистративном правонарушении. Затем оба документа передаются в энергонадзор, где решается, штрафовать нарушителя или нет.</w:t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both"/>
      </w:pPr>
      <w:r>
        <w:rPr>
          <w:rStyle w:val="a3"/>
        </w:rPr>
        <w:t>Комментирует</w:t>
      </w:r>
      <w:r>
        <w:t>:</w:t>
      </w:r>
    </w:p>
    <w:p w:rsidR="00000000" w:rsidRDefault="00F00947">
      <w:pPr>
        <w:ind w:firstLine="720"/>
        <w:jc w:val="both"/>
      </w:pPr>
      <w:r>
        <w:t>Ева Шипунова, к. ю. н., адвокат</w:t>
      </w:r>
    </w:p>
    <w:p w:rsidR="00000000" w:rsidRDefault="00F00947">
      <w:pPr>
        <w:ind w:firstLine="720"/>
        <w:jc w:val="both"/>
      </w:pPr>
      <w:r>
        <w:t>Кроме того, взыскание денежных средств, которые должны были быть перечислены за освещени</w:t>
      </w:r>
      <w:r>
        <w:t xml:space="preserve">е мест общего пользования, с незаконно подключившихся лиц осуществляется и в судебном порядке. Так, согласно решению суда первой инстанции от 09.07.2008 г. с ДДТ "Юность" справедливо взыскана сумма неосновательного обогащения (размер оплаты, в том числе и </w:t>
      </w:r>
      <w:r>
        <w:t>за освещение), а также проценты за пользование чужими денежными средствами. Как следует из материалов дела, представителем ЗАО "Петроэлектросбыт" в присутствии сотрудников ответчика установлено безучетное потребление электроэнергии путем самовольного подкл</w:t>
      </w:r>
      <w:r>
        <w:t>ючения к сети энергоснабжающей организации, о чем составлен акт, подписанный обеими сторонами</w:t>
      </w:r>
      <w:hyperlink w:anchor="sub_10006" w:history="1">
        <w:r>
          <w:rPr>
            <w:rStyle w:val="a4"/>
          </w:rPr>
          <w:t>*(6)</w:t>
        </w:r>
      </w:hyperlink>
      <w:r>
        <w:t>.</w:t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both"/>
      </w:pPr>
      <w:r>
        <w:t xml:space="preserve">Что касается проблемы потерь в сетях, то и здесь все очевидно: проводке в большинстве многоквартирных домов по несколько </w:t>
      </w:r>
      <w:r>
        <w:t>десятков лет, она попросту не рассчитана на современные мощности.</w:t>
      </w:r>
    </w:p>
    <w:p w:rsidR="00000000" w:rsidRDefault="00F00947">
      <w:pPr>
        <w:ind w:firstLine="720"/>
        <w:jc w:val="both"/>
      </w:pPr>
      <w:r>
        <w:t>И все же главной проблемой остается отсутствие в квартирах современных приборов учета. В аппаратах старого образца счетное колесико можно придержать или отмотать назад. Кроме того, они не ре</w:t>
      </w:r>
      <w:r>
        <w:t>агируют на технику, работающую в режиме ожидания (например, телевизор, не отключенный на ночь от сети). А более точный общедомовой счетчик зафиксирует все до последнего киловатта. И оплачивать такие расходы приходится всем жильцам сообща.</w:t>
      </w:r>
    </w:p>
    <w:p w:rsidR="00000000" w:rsidRDefault="00F00947">
      <w:pPr>
        <w:ind w:firstLine="720"/>
        <w:jc w:val="both"/>
      </w:pPr>
      <w:r>
        <w:t>Можно долго обсуж</w:t>
      </w:r>
      <w:r>
        <w:t>дать справедливость выбранных законодателем методов распределения платы за общедомовую электроэнергию, и всегда найдутся недовольные. Например, кому-то покажется нелогичным, что чем больше электроэнергии потребляется в жилом помещении, тем больше собственн</w:t>
      </w:r>
      <w:r>
        <w:t>ик данного помещения вынужден платить за электроэнергию, израсходованную в местах общего пользования. Принимать в качестве базы для распределения расходов количество граждан, проживающих (зарегистрированных) в жилом помещении, также не всегда корректно, та</w:t>
      </w:r>
      <w:r>
        <w:t>к как количество фактически проживающих и количество зарегистрированных в жилом помещении граждан может не совпадать. В целом вызывает недоверие подход, согласно которому обладатели счетчиков обязаны платить за потребление электроэнергии сверх их показаний</w:t>
      </w:r>
      <w:r>
        <w:t>, ведь тогда они должны оплачивать и сверхнормативный расход коммунального ресурса потребителями, не имеющими приборов учета, а также потери в неисправных сетях. Тем не менее приходится признать взимание платы за освещение мест общего пользования правомерн</w:t>
      </w:r>
      <w:r>
        <w:t>ым.</w:t>
      </w:r>
    </w:p>
    <w:p w:rsidR="00000000" w:rsidRDefault="00F00947">
      <w:pPr>
        <w:ind w:firstLine="720"/>
        <w:jc w:val="both"/>
      </w:pPr>
      <w:r>
        <w:t>Плательщикам можно посоветовать несколько путей решения проблемы больших счетов за освещение общих мест:</w:t>
      </w:r>
    </w:p>
    <w:p w:rsidR="00000000" w:rsidRDefault="00F00947">
      <w:pPr>
        <w:ind w:firstLine="720"/>
        <w:jc w:val="both"/>
      </w:pPr>
      <w:r>
        <w:t>- установить в квартире современные счетчики;</w:t>
      </w:r>
    </w:p>
    <w:p w:rsidR="00000000" w:rsidRDefault="00F00947">
      <w:pPr>
        <w:ind w:firstLine="720"/>
        <w:jc w:val="both"/>
      </w:pPr>
      <w:r>
        <w:t>- полностью заменить электропроводку в доме;</w:t>
      </w:r>
    </w:p>
    <w:p w:rsidR="00000000" w:rsidRDefault="00F00947">
      <w:pPr>
        <w:ind w:firstLine="720"/>
        <w:jc w:val="both"/>
      </w:pPr>
      <w:r>
        <w:t>- подать на непосредственного виновника своих бед (напри</w:t>
      </w:r>
      <w:r>
        <w:t>мер, на соседа, осуществляющего хищение электроэнергии) в суд, однако такой путь представляет определенную сложность: придется не только побороть психологию, но и документально доказать вину ответчика, что достаточно затруднительно.</w:t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both"/>
      </w:pPr>
      <w:r>
        <w:rPr>
          <w:rStyle w:val="a3"/>
        </w:rPr>
        <w:t>Комментирует</w:t>
      </w:r>
      <w:r>
        <w:t>:</w:t>
      </w:r>
    </w:p>
    <w:p w:rsidR="00000000" w:rsidRDefault="00F00947">
      <w:pPr>
        <w:ind w:firstLine="720"/>
        <w:jc w:val="both"/>
      </w:pPr>
      <w:r>
        <w:t>Ева Шипу</w:t>
      </w:r>
      <w:r>
        <w:t>нова, к. ю. н., адвокат</w:t>
      </w:r>
    </w:p>
    <w:p w:rsidR="00000000" w:rsidRDefault="00F00947">
      <w:pPr>
        <w:ind w:firstLine="720"/>
        <w:jc w:val="both"/>
      </w:pPr>
      <w:r>
        <w:t>(в средствах массовой информации также назывался такой способ "уменьшения суммы по оплате услуги" как установка энергосберегающего устройства</w:t>
      </w:r>
      <w:hyperlink w:anchor="sub_10007" w:history="1">
        <w:r>
          <w:rPr>
            <w:rStyle w:val="a4"/>
          </w:rPr>
          <w:t>*(7)</w:t>
        </w:r>
      </w:hyperlink>
      <w:r>
        <w:t>. Однако, учитывая, что, как обоснованно указывали авторы ра</w:t>
      </w:r>
      <w:r>
        <w:t>нее в статье, оплата за потребление света на лестничных клетках, этажах и в подвалах составляет незначительную часть расходов на освещение; замена обычных ламп на энергосберегающие позволит лишь незначительно уменьшить расходы за освещение общих мест)</w:t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right"/>
      </w:pPr>
      <w:r>
        <w:t>И.В</w:t>
      </w:r>
      <w:r>
        <w:t>. Погодина,</w:t>
      </w:r>
    </w:p>
    <w:p w:rsidR="00000000" w:rsidRDefault="00F00947">
      <w:pPr>
        <w:ind w:firstLine="720"/>
        <w:jc w:val="right"/>
      </w:pPr>
      <w:r>
        <w:t>к.ю.н., доцент кафедры гражданского права и процесса</w:t>
      </w:r>
    </w:p>
    <w:p w:rsidR="00000000" w:rsidRDefault="00F00947">
      <w:pPr>
        <w:ind w:firstLine="720"/>
        <w:jc w:val="right"/>
      </w:pPr>
      <w:r>
        <w:t>ГОУ ВПО "Владимирский государственный университет"</w:t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right"/>
      </w:pPr>
      <w:r>
        <w:t>А.О. Смирнова,</w:t>
      </w:r>
    </w:p>
    <w:p w:rsidR="00000000" w:rsidRDefault="00F00947">
      <w:pPr>
        <w:ind w:firstLine="720"/>
        <w:jc w:val="right"/>
      </w:pPr>
      <w:r>
        <w:t>ГОУ ВПО "Владимирский государственный университет"</w:t>
      </w:r>
    </w:p>
    <w:p w:rsidR="00000000" w:rsidRDefault="00F00947">
      <w:pPr>
        <w:ind w:firstLine="720"/>
        <w:jc w:val="both"/>
      </w:pPr>
    </w:p>
    <w:p w:rsidR="00000000" w:rsidRDefault="00F00947">
      <w:pPr>
        <w:ind w:firstLine="720"/>
        <w:jc w:val="both"/>
      </w:pPr>
      <w:r>
        <w:t>"Жилищное право", N 4, апрель 2010 г.</w:t>
      </w:r>
    </w:p>
    <w:p w:rsidR="00000000" w:rsidRDefault="00F00947">
      <w:pPr>
        <w:ind w:firstLine="720"/>
        <w:jc w:val="both"/>
      </w:pPr>
    </w:p>
    <w:p w:rsidR="00000000" w:rsidRDefault="00F00947">
      <w:pPr>
        <w:pStyle w:val="aff9"/>
      </w:pPr>
      <w:r>
        <w:t>─────────────────────────────────</w:t>
      </w:r>
      <w:r>
        <w:t>───────────────────────────────────────────</w:t>
      </w:r>
    </w:p>
    <w:p w:rsidR="00000000" w:rsidRDefault="00F00947">
      <w:pPr>
        <w:ind w:firstLine="720"/>
        <w:jc w:val="both"/>
      </w:pPr>
      <w:bookmarkStart w:id="1" w:name="sub_10001"/>
      <w:r>
        <w:t xml:space="preserve">*(1)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23.05.2006 г. N 307 "О порядке предоставления коммунальных услуг гражданам" // </w:t>
      </w:r>
      <w:r>
        <w:t>Российская газета. - 01.06.2006. - N 4081.</w:t>
      </w:r>
    </w:p>
    <w:p w:rsidR="00000000" w:rsidRDefault="00F00947">
      <w:pPr>
        <w:ind w:firstLine="720"/>
        <w:jc w:val="both"/>
      </w:pPr>
      <w:bookmarkStart w:id="2" w:name="sub_10002"/>
      <w:bookmarkEnd w:id="1"/>
      <w:r>
        <w:t xml:space="preserve">*(2)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13.08.2006 г. N 491 "Об утверждении Правил содержания общего имущества </w:t>
      </w:r>
      <w:r>
        <w:t>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</w:t>
      </w:r>
      <w:r>
        <w:t>ми, превышающими установленную продолжительность" // Российская газета. - 22.08.2006. - N 4150.</w:t>
      </w:r>
    </w:p>
    <w:p w:rsidR="00000000" w:rsidRDefault="00F00947">
      <w:pPr>
        <w:ind w:firstLine="720"/>
        <w:jc w:val="both"/>
      </w:pPr>
      <w:bookmarkStart w:id="3" w:name="sub_10003"/>
      <w:bookmarkEnd w:id="2"/>
      <w:r>
        <w:t xml:space="preserve">*(3) </w:t>
      </w:r>
      <w:hyperlink r:id="rId18" w:history="1">
        <w:r>
          <w:rPr>
            <w:rStyle w:val="a4"/>
          </w:rPr>
          <w:t>Письмо</w:t>
        </w:r>
      </w:hyperlink>
      <w:r>
        <w:t xml:space="preserve"> Министерства регионального развития РФ от 18.06.2007 г. N 11356-</w:t>
      </w:r>
      <w:r>
        <w:t>ЮТ/07 "Об отнесении снабжения электрической энергией помещений общего пользования в многоквартирном доме к составу платы за коммунальные услуги" // Официальный сайт Министерства регионального развития РФ.</w:t>
      </w:r>
    </w:p>
    <w:p w:rsidR="00000000" w:rsidRDefault="00F00947">
      <w:pPr>
        <w:ind w:firstLine="720"/>
        <w:jc w:val="both"/>
      </w:pPr>
      <w:bookmarkStart w:id="4" w:name="sub_10004"/>
      <w:bookmarkEnd w:id="3"/>
      <w:r>
        <w:t>*(4) Зайцев Е. Тариф на освещение</w:t>
      </w:r>
      <w:r>
        <w:t xml:space="preserve"> мест общего пользования отменен // Коммерческие Вести. - 15.04.2009.</w:t>
      </w:r>
    </w:p>
    <w:p w:rsidR="00000000" w:rsidRDefault="00F00947">
      <w:pPr>
        <w:ind w:firstLine="720"/>
        <w:jc w:val="both"/>
      </w:pPr>
      <w:bookmarkStart w:id="5" w:name="sub_10005"/>
      <w:bookmarkEnd w:id="4"/>
      <w:r>
        <w:t>*(5) Передельский Д. Не тот свет / Д. Передельский // Российская газета - Экономика центрального округа. - 31.03.2009. - N 4878.</w:t>
      </w:r>
    </w:p>
    <w:p w:rsidR="00000000" w:rsidRDefault="00F00947">
      <w:pPr>
        <w:ind w:firstLine="720"/>
        <w:jc w:val="both"/>
      </w:pPr>
      <w:bookmarkStart w:id="6" w:name="sub_10006"/>
      <w:bookmarkEnd w:id="5"/>
      <w:r>
        <w:t xml:space="preserve">*(6) Постановление </w:t>
      </w:r>
      <w:r>
        <w:t>Тринадцатого Арбитражного апелляционного суда от 07.10.2008 г. по делу N А-56-9712/2008.</w:t>
      </w:r>
    </w:p>
    <w:p w:rsidR="00000000" w:rsidRDefault="00F00947">
      <w:pPr>
        <w:ind w:firstLine="720"/>
        <w:jc w:val="both"/>
      </w:pPr>
      <w:bookmarkStart w:id="7" w:name="sub_10007"/>
      <w:bookmarkEnd w:id="6"/>
      <w:r>
        <w:t>*(7) Законность начисления платы за освещение в местах общего пользования проверят власти Пскова // (16.03.2010).</w:t>
      </w:r>
    </w:p>
    <w:bookmarkEnd w:id="7"/>
    <w:p w:rsidR="00F00947" w:rsidRDefault="00F00947">
      <w:pPr>
        <w:ind w:firstLine="720"/>
        <w:jc w:val="both"/>
      </w:pPr>
    </w:p>
    <w:sectPr w:rsidR="00F00947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F27"/>
    <w:rsid w:val="00407F27"/>
    <w:rsid w:val="00F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mipcnet.org/document?id=2207390&amp;sub=0" TargetMode="External"/><Relationship Id="rId13" Type="http://schemas.openxmlformats.org/officeDocument/2006/relationships/hyperlink" Target="http://garant.mipcnet.org/document?id=12047448&amp;sub=20031" TargetMode="External"/><Relationship Id="rId18" Type="http://schemas.openxmlformats.org/officeDocument/2006/relationships/hyperlink" Target="http://garant.mipcnet.org/document?id=2207390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.mipcnet.org/document?id=12048944&amp;sub=10112" TargetMode="External"/><Relationship Id="rId12" Type="http://schemas.openxmlformats.org/officeDocument/2006/relationships/hyperlink" Target="http://garant.mipcnet.org/document?id=12047448&amp;sub=120" TargetMode="External"/><Relationship Id="rId17" Type="http://schemas.openxmlformats.org/officeDocument/2006/relationships/hyperlink" Target="http://garant.mipcnet.org/document?id=12048944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ant.mipcnet.org/document?id=12047448&amp;sub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arant.mipcnet.org/document?id=12048944&amp;sub=0" TargetMode="External"/><Relationship Id="rId11" Type="http://schemas.openxmlformats.org/officeDocument/2006/relationships/hyperlink" Target="http://garant.mipcnet.org/document?id=12047448&amp;sub=20021" TargetMode="External"/><Relationship Id="rId5" Type="http://schemas.openxmlformats.org/officeDocument/2006/relationships/hyperlink" Target="http://garant.mipcnet.org/document?id=12048944&amp;sub=1028" TargetMode="External"/><Relationship Id="rId15" Type="http://schemas.openxmlformats.org/officeDocument/2006/relationships/hyperlink" Target="http://garant.mipcnet.org/document?id=12047362&amp;sub=26" TargetMode="External"/><Relationship Id="rId10" Type="http://schemas.openxmlformats.org/officeDocument/2006/relationships/hyperlink" Target="http://garant.mipcnet.org/document?id=12047448&amp;sub=120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garant.mipcnet.org/document?id=12047448&amp;sub=0" TargetMode="External"/><Relationship Id="rId9" Type="http://schemas.openxmlformats.org/officeDocument/2006/relationships/hyperlink" Target="http://garant.mipcnet.org/document?id=12048944&amp;sub=10118" TargetMode="External"/><Relationship Id="rId14" Type="http://schemas.openxmlformats.org/officeDocument/2006/relationships/hyperlink" Target="http://garant.mipcnet.org/document?id=12047362&amp;sub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2124</Words>
  <Characters>12110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Кто заплатит за светлые места общего пользования?</vt:lpstr>
    </vt:vector>
  </TitlesOfParts>
  <Company>НПП "Гарант-Сервис"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Филин Сергей Александрович</cp:lastModifiedBy>
  <cp:revision>2</cp:revision>
  <dcterms:created xsi:type="dcterms:W3CDTF">2013-10-28T08:05:00Z</dcterms:created>
  <dcterms:modified xsi:type="dcterms:W3CDTF">2013-10-28T08:05:00Z</dcterms:modified>
</cp:coreProperties>
</file>