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E523F3">
      <w:pPr>
        <w:pStyle w:val="1"/>
        <w:rPr>
          <w:sz w:val="26"/>
          <w:szCs w:val="26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>HYPERLINK "http://garant.mipcnet.org/docu</w:instrText>
      </w:r>
      <w:r>
        <w:rPr>
          <w:sz w:val="26"/>
          <w:szCs w:val="26"/>
        </w:rPr>
        <w:instrText>ment?id=39520229&amp;sub=0"</w:instrText>
      </w:r>
      <w:r w:rsidR="00D55991"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rStyle w:val="a4"/>
          <w:sz w:val="26"/>
          <w:szCs w:val="26"/>
        </w:rPr>
        <w:t>Постановление Федерального арбитражного суда Волго-Вятского округа</w:t>
      </w:r>
      <w:r>
        <w:rPr>
          <w:rStyle w:val="a4"/>
          <w:sz w:val="26"/>
          <w:szCs w:val="26"/>
        </w:rPr>
        <w:br/>
        <w:t>от 11 декабря 2012 г. N Ф01-5401/12 по делу N А31-9158/2011</w:t>
      </w:r>
      <w:r>
        <w:rPr>
          <w:sz w:val="26"/>
          <w:szCs w:val="26"/>
        </w:rPr>
        <w:fldChar w:fldCharType="end"/>
      </w:r>
    </w:p>
    <w:p w:rsidR="00000000" w:rsidRDefault="00E523F3">
      <w:pPr>
        <w:ind w:firstLine="720"/>
        <w:jc w:val="both"/>
      </w:pPr>
    </w:p>
    <w:p w:rsidR="00000000" w:rsidRDefault="00E523F3">
      <w:pPr>
        <w:ind w:firstLine="720"/>
        <w:jc w:val="both"/>
      </w:pPr>
      <w:r>
        <w:t>Резолютивная часть постановления объявлена 06.12.2012.</w:t>
      </w:r>
    </w:p>
    <w:p w:rsidR="00000000" w:rsidRDefault="00E523F3">
      <w:pPr>
        <w:ind w:firstLine="720"/>
        <w:jc w:val="both"/>
      </w:pPr>
      <w:r>
        <w:t xml:space="preserve">Постановление в полном объеме изготовлено </w:t>
      </w:r>
      <w:r>
        <w:t>11.12.2012.</w:t>
      </w:r>
    </w:p>
    <w:p w:rsidR="00000000" w:rsidRDefault="00E523F3">
      <w:pPr>
        <w:ind w:firstLine="720"/>
        <w:jc w:val="both"/>
      </w:pPr>
    </w:p>
    <w:p w:rsidR="00000000" w:rsidRDefault="00E523F3">
      <w:pPr>
        <w:ind w:firstLine="720"/>
        <w:jc w:val="both"/>
      </w:pPr>
      <w:bookmarkStart w:id="1" w:name="sub_10005"/>
      <w:r>
        <w:t>Федеральный арбитражный суд Волго-Вятского округа в составе:</w:t>
      </w:r>
    </w:p>
    <w:bookmarkEnd w:id="1"/>
    <w:p w:rsidR="00000000" w:rsidRDefault="00E523F3">
      <w:pPr>
        <w:ind w:firstLine="720"/>
        <w:jc w:val="both"/>
      </w:pPr>
      <w:r>
        <w:t>председательствующего Чиха А.Н.,</w:t>
      </w:r>
    </w:p>
    <w:p w:rsidR="00000000" w:rsidRDefault="00E523F3">
      <w:pPr>
        <w:ind w:firstLine="720"/>
        <w:jc w:val="both"/>
      </w:pPr>
      <w:r>
        <w:t>судей Елисеевой Е.В., Каширской Н.А.</w:t>
      </w:r>
    </w:p>
    <w:p w:rsidR="00000000" w:rsidRDefault="00E523F3">
      <w:pPr>
        <w:ind w:firstLine="720"/>
        <w:jc w:val="both"/>
      </w:pPr>
      <w:r>
        <w:t>в отсутствие участвующих в деле лиц,</w:t>
      </w:r>
    </w:p>
    <w:p w:rsidR="00000000" w:rsidRDefault="00E523F3">
      <w:pPr>
        <w:ind w:firstLine="720"/>
        <w:jc w:val="both"/>
      </w:pPr>
      <w:r>
        <w:t>рассмотрел в судебном заседании кассационную жалобу ответ</w:t>
      </w:r>
      <w:r>
        <w:t xml:space="preserve">чика - муниципального унитарного предприятия "Коммунальник" на </w:t>
      </w:r>
      <w:hyperlink r:id="rId4" w:history="1">
        <w:r>
          <w:rPr>
            <w:rStyle w:val="a4"/>
          </w:rPr>
          <w:t>решение</w:t>
        </w:r>
      </w:hyperlink>
      <w:r>
        <w:t xml:space="preserve"> Арбитражного суда Костромской области от 26.04.2012, принятое судьей Авдеевой Н.Ю., и на </w:t>
      </w:r>
      <w:hyperlink r:id="rId5" w:history="1">
        <w:r>
          <w:rPr>
            <w:rStyle w:val="a4"/>
          </w:rPr>
          <w:t>постановление</w:t>
        </w:r>
      </w:hyperlink>
      <w:r>
        <w:t xml:space="preserve"> Второго арбитражного апелляционного суда от 06.08.2012, принятое судьями Чернигиной Т.В., Барминым Д.Ю., Поляшовой Т.М., по делу N А31-9158/2011 по иску общества с ограниченной ответственностью "Парадное"</w:t>
      </w:r>
      <w:r>
        <w:t xml:space="preserve"> к муниципальному унитарному предприятию "Коммунальник",</w:t>
      </w:r>
    </w:p>
    <w:p w:rsidR="00000000" w:rsidRDefault="00E523F3">
      <w:pPr>
        <w:ind w:firstLine="720"/>
        <w:jc w:val="both"/>
      </w:pPr>
      <w:r>
        <w:t>третьи лица, не заявляющие самостоятельных требований относительно предмета спора, - общество с ограниченной ответственностью "Вариант", открытое акционерное общество "Единый информационный расчетно-</w:t>
      </w:r>
      <w:r>
        <w:t>кассовый центр", о взыскании неосновательного обогащения и установил:</w:t>
      </w:r>
    </w:p>
    <w:p w:rsidR="00000000" w:rsidRDefault="00E523F3">
      <w:pPr>
        <w:ind w:firstLine="720"/>
        <w:jc w:val="both"/>
      </w:pPr>
      <w:r>
        <w:t>общество с ограниченной ответственностью "Парадное" (далее - Общество) обратилось в Арбитражный суд Костромской области с иском к муниципальному унитарному предприятию "Коммунальник" (да</w:t>
      </w:r>
      <w:r>
        <w:t xml:space="preserve">лее - Предприятие). Предметом иска (с учетом уточнения иска в порядке </w:t>
      </w:r>
      <w:hyperlink r:id="rId6" w:history="1">
        <w:r>
          <w:rPr>
            <w:rStyle w:val="a4"/>
          </w:rPr>
          <w:t>статьи 49</w:t>
        </w:r>
      </w:hyperlink>
      <w:r>
        <w:t xml:space="preserve"> Арбитражного процессуального кодекса Российской Федерации) явилось требование истца о взыскании с ответчика </w:t>
      </w:r>
      <w:r>
        <w:t>в качестве неосновательного обогащения полученной от жителей находящихся в управлении истца многоквартирных жилых домов платы за их содержание и обслуживание с 01.07.2010 по 31.12.2010 в размере 2 095 291 рубля.</w:t>
      </w:r>
    </w:p>
    <w:p w:rsidR="00000000" w:rsidRDefault="00E523F3">
      <w:pPr>
        <w:ind w:firstLine="720"/>
        <w:jc w:val="both"/>
      </w:pPr>
      <w:r>
        <w:t xml:space="preserve">К участию в деле в качестве третьих лиц, не </w:t>
      </w:r>
      <w:r>
        <w:t>заявляющих самостоятельных требований относительно предмета спора, привлечены общество с ограниченной ответственностью "Вариант" (далее - ООО "Вариант") и открытое акционерное общество "Единый информационный расчетно-кассовый центр" (далее - ОАО "ЕИРКЦ").</w:t>
      </w:r>
    </w:p>
    <w:p w:rsidR="00000000" w:rsidRDefault="00E523F3">
      <w:pPr>
        <w:ind w:firstLine="720"/>
        <w:jc w:val="both"/>
      </w:pPr>
      <w:r>
        <w:t xml:space="preserve">Суд первой инстанции решением от 26.04.2012 удовлетворил заявленное требование; взыскал с Предприятия в пользу Общества 2 095 391 рубль неосновательного обогащения. При принятии судебного акта суд руководствовался </w:t>
      </w:r>
      <w:hyperlink r:id="rId7" w:history="1">
        <w:r>
          <w:rPr>
            <w:rStyle w:val="a4"/>
          </w:rPr>
          <w:t>статьей 157</w:t>
        </w:r>
      </w:hyperlink>
      <w:r>
        <w:t xml:space="preserve"> Жилищного кодекса Российской Федерации, </w:t>
      </w:r>
      <w:hyperlink r:id="rId8" w:history="1">
        <w:r>
          <w:rPr>
            <w:rStyle w:val="a4"/>
          </w:rPr>
          <w:t>статьями 210</w:t>
        </w:r>
      </w:hyperlink>
      <w:r>
        <w:t xml:space="preserve">, </w:t>
      </w:r>
      <w:hyperlink r:id="rId9" w:history="1">
        <w:r>
          <w:rPr>
            <w:rStyle w:val="a4"/>
          </w:rPr>
          <w:t>1102</w:t>
        </w:r>
      </w:hyperlink>
      <w:r>
        <w:t xml:space="preserve"> и </w:t>
      </w:r>
      <w:hyperlink r:id="rId10" w:history="1">
        <w:r>
          <w:rPr>
            <w:rStyle w:val="a4"/>
          </w:rPr>
          <w:t>1105</w:t>
        </w:r>
      </w:hyperlink>
      <w:r>
        <w:t xml:space="preserve"> Гражданского кодекса Российской Федерации.</w:t>
      </w:r>
    </w:p>
    <w:p w:rsidR="00000000" w:rsidRDefault="00E523F3">
      <w:pPr>
        <w:ind w:firstLine="720"/>
        <w:jc w:val="both"/>
      </w:pPr>
      <w:hyperlink r:id="rId11" w:history="1">
        <w:r>
          <w:rPr>
            <w:rStyle w:val="a4"/>
          </w:rPr>
          <w:t>Постановлением</w:t>
        </w:r>
      </w:hyperlink>
      <w:r>
        <w:t xml:space="preserve"> Второго арбитражного апелляционного суда от 06.08.2012 решение от 26.04.2</w:t>
      </w:r>
      <w:r>
        <w:t>012 оставлено без изменения.</w:t>
      </w:r>
    </w:p>
    <w:p w:rsidR="00000000" w:rsidRDefault="00E523F3">
      <w:pPr>
        <w:ind w:firstLine="720"/>
        <w:jc w:val="both"/>
      </w:pPr>
      <w:r>
        <w:t xml:space="preserve">Не согласившись с состоявшимися судебными актами, Предприятие обратилось в Федеральный арбитражный суд Волго-Вятского округа с кассационной жалобой, в которой просит отменить решение от 26.04.2012 и </w:t>
      </w:r>
      <w:hyperlink r:id="rId12" w:history="1">
        <w:r>
          <w:rPr>
            <w:rStyle w:val="a4"/>
          </w:rPr>
          <w:t>постановление</w:t>
        </w:r>
      </w:hyperlink>
      <w:r>
        <w:t xml:space="preserve"> от 06.08.2012 и принять по делу новый судебный акт об отказе в </w:t>
      </w:r>
      <w:r>
        <w:lastRenderedPageBreak/>
        <w:t>удовлетворении иска.</w:t>
      </w:r>
    </w:p>
    <w:p w:rsidR="00000000" w:rsidRDefault="00E523F3">
      <w:pPr>
        <w:ind w:firstLine="720"/>
        <w:jc w:val="both"/>
      </w:pPr>
      <w:r>
        <w:t>Заявитель жалобы не согласен с выводами судов первой и апелляционной инстанций о наличии у него неосновательного обогащ</w:t>
      </w:r>
      <w:r>
        <w:t>ения за счет истца. По мнению заявителя, суды не дали надлежащей оценки договору на оказание услуг по содержанию и обслуживанию общедомового имущества многоквартирных жилых домов от 01.07.2010 и агентскому договору от 01.07.2010, заключенным Предприятием и</w:t>
      </w:r>
      <w:r>
        <w:t xml:space="preserve"> ООО "Вариант", из условий которых усматривается, что Предприятие не является собственником денежных средств, поступивших от жителей многоквартирных домов.</w:t>
      </w:r>
    </w:p>
    <w:p w:rsidR="00000000" w:rsidRDefault="00E523F3">
      <w:pPr>
        <w:ind w:firstLine="720"/>
        <w:jc w:val="both"/>
      </w:pPr>
      <w:r>
        <w:t>Участвующие в деле лица, надлежащим образом извещенные о времени и месте рассмотрения кассационной ж</w:t>
      </w:r>
      <w:r>
        <w:t>алобы, явку представителей в судебное заседание не обеспечили. Кассационная жалоба рассмотрена без их участия.</w:t>
      </w:r>
    </w:p>
    <w:p w:rsidR="00000000" w:rsidRDefault="00E523F3">
      <w:pPr>
        <w:ind w:firstLine="720"/>
        <w:jc w:val="both"/>
      </w:pPr>
      <w:bookmarkStart w:id="2" w:name="sub_20005"/>
      <w:r>
        <w:t xml:space="preserve">Законность </w:t>
      </w:r>
      <w:hyperlink r:id="rId13" w:history="1">
        <w:r>
          <w:rPr>
            <w:rStyle w:val="a4"/>
          </w:rPr>
          <w:t>решения</w:t>
        </w:r>
      </w:hyperlink>
      <w:r>
        <w:t xml:space="preserve"> Арбитражного суда Костромской области от 26.04.201</w:t>
      </w:r>
      <w:r>
        <w:t xml:space="preserve">2 и </w:t>
      </w:r>
      <w:hyperlink r:id="rId14" w:history="1">
        <w:r>
          <w:rPr>
            <w:rStyle w:val="a4"/>
          </w:rPr>
          <w:t>постановления</w:t>
        </w:r>
      </w:hyperlink>
      <w:r>
        <w:t xml:space="preserve"> Второго арбитражного апелляционного суда от 06.08.2012 по делу N А31-9158/2011 проверена Федеральным арбитражным судом Волго-Вятского округа в порядке, установленном в </w:t>
      </w:r>
      <w:hyperlink r:id="rId15" w:history="1">
        <w:r>
          <w:rPr>
            <w:rStyle w:val="a4"/>
          </w:rPr>
          <w:t>статьях 274</w:t>
        </w:r>
      </w:hyperlink>
      <w:r>
        <w:t xml:space="preserve">, </w:t>
      </w:r>
      <w:hyperlink r:id="rId16" w:history="1">
        <w:r>
          <w:rPr>
            <w:rStyle w:val="a4"/>
          </w:rPr>
          <w:t>284</w:t>
        </w:r>
      </w:hyperlink>
      <w:r>
        <w:t xml:space="preserve"> и </w:t>
      </w:r>
      <w:hyperlink r:id="rId17" w:history="1">
        <w:r>
          <w:rPr>
            <w:rStyle w:val="a4"/>
          </w:rPr>
          <w:t>286</w:t>
        </w:r>
      </w:hyperlink>
      <w:r>
        <w:t xml:space="preserve"> Арбитражного процессуального </w:t>
      </w:r>
      <w:r>
        <w:t>кодекса Российской Федерации, в пределах указанных в кассационной жалобе доводов.</w:t>
      </w:r>
    </w:p>
    <w:bookmarkEnd w:id="2"/>
    <w:p w:rsidR="00000000" w:rsidRDefault="00E523F3">
      <w:pPr>
        <w:ind w:firstLine="720"/>
        <w:jc w:val="both"/>
      </w:pPr>
      <w:r>
        <w:t xml:space="preserve">Как следует из материалов дела и установили суды обеих инстанций, Общество является управляющей организацией и с 01.07.2010 осуществляет управление многоквартирными </w:t>
      </w:r>
      <w:r>
        <w:t>жилыми домами, расположенными на территории городского поселения поселок Красное-на-Волге по адресам: микрорайон Восточный, дома 1, 2, 3, 9, 11, 13 и 14; улица Заводская, дома 3, 10 и 12; улица К. Цеткин, дом 1; улица Ленина, дом 42; улица Новая, дом 28; у</w:t>
      </w:r>
      <w:r>
        <w:t>лица Островского, дом 2; переулок Пушкина, дом 16; Подстанция, дом 2б; улица Песочная, дом 2; улица Фрунзе, дом 20; улица Советская, дома 16, 18, 20, 22 и 49.</w:t>
      </w:r>
    </w:p>
    <w:p w:rsidR="00000000" w:rsidRDefault="00E523F3">
      <w:pPr>
        <w:ind w:firstLine="720"/>
        <w:jc w:val="both"/>
      </w:pPr>
      <w:r>
        <w:t>Вступившими в законную силу решениями Арбитражного суда Костромской области от 30.11.2010 по делу</w:t>
      </w:r>
      <w:r>
        <w:t xml:space="preserve"> N А31-5740/2010, от 24.12.2010 по делу N А31-6079/2010 и от 09.06.2011 по делу N А31-1513/2011 установлено, что с 01.07.2010 по 31.12.2010 Общество исполняло функции управляющей компании по отношению к домам, расположенным по адресам: поселок Красное-на-В</w:t>
      </w:r>
      <w:r>
        <w:t>олге, улица К. Цеткин, д. 1; улица Новая, дом 28; улица Песочная, дом 2; улица Советская, дома 16, 18, 20, 22, 24 и 49; улица Фрунзе, дом 20; микрорайон Восточный, дома 1, 2, 3, 9, 11, 13, 14; улица Заводская, дома 3, 10 и 12; улица Ленина, дом 42; улица О</w:t>
      </w:r>
      <w:r>
        <w:t>стровского, дом 2; улица Пушкина, дом 16; улица Подстанция, дом 2б.</w:t>
      </w:r>
    </w:p>
    <w:p w:rsidR="00000000" w:rsidRDefault="00E523F3">
      <w:pPr>
        <w:ind w:firstLine="720"/>
        <w:jc w:val="both"/>
      </w:pPr>
      <w:r>
        <w:t>Суды установили, что часть жителей находящихся в управлении Общества многоквартирных жилых домов перечисляла денежные средства на содержание и обслуживание общедомового имущества в адрес П</w:t>
      </w:r>
      <w:r>
        <w:t>редприятия, о чем свидетельствуют представленные ОАО "ЕИРКЦ" сведения о поступивших денежных средствах от жильцов управляемых Обществом многоквартирных жилых домов и перечислении данных денежных средств за период с 01.07.2010 по 31.12.2010 Предприятию.</w:t>
      </w:r>
    </w:p>
    <w:p w:rsidR="00000000" w:rsidRDefault="00E523F3">
      <w:pPr>
        <w:ind w:firstLine="720"/>
        <w:jc w:val="both"/>
      </w:pPr>
      <w:r>
        <w:t>Пос</w:t>
      </w:r>
      <w:r>
        <w:t>читав, что на стороне Предприятия возникло неосновательное обогащение в виде поступивших от жителей управляемых Обществом многоквартирных жилых домов платежей на содержание и обслуживание общедомового имущества, Общество обратилось в арбитражный суд с наст</w:t>
      </w:r>
      <w:r>
        <w:t>оящим иском.</w:t>
      </w:r>
    </w:p>
    <w:p w:rsidR="00000000" w:rsidRDefault="00E523F3">
      <w:pPr>
        <w:ind w:firstLine="720"/>
        <w:jc w:val="both"/>
      </w:pPr>
      <w:r>
        <w:t>Исследовав материалы дела и изучив доводы кассационной жалобы, суд кассационной инстанции принял постановление, исходя из следующего.</w:t>
      </w:r>
    </w:p>
    <w:p w:rsidR="00000000" w:rsidRDefault="00E523F3">
      <w:pPr>
        <w:ind w:firstLine="720"/>
        <w:jc w:val="both"/>
      </w:pPr>
      <w:r>
        <w:t xml:space="preserve">В соответствии со </w:t>
      </w:r>
      <w:hyperlink r:id="rId18" w:history="1">
        <w:r>
          <w:rPr>
            <w:rStyle w:val="a4"/>
          </w:rPr>
          <w:t>статьей 8</w:t>
        </w:r>
      </w:hyperlink>
      <w:r>
        <w:t xml:space="preserve"> Гражданского к</w:t>
      </w:r>
      <w:r>
        <w:t xml:space="preserve">одекса Российской Федерации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</w:t>
      </w:r>
      <w:r>
        <w:t>начал и смысла гражданского законодательства порождают гражданские права и обязанности, в том числе и вследствие неосновательного обогащения.</w:t>
      </w:r>
    </w:p>
    <w:p w:rsidR="00000000" w:rsidRDefault="00E523F3">
      <w:pPr>
        <w:ind w:firstLine="720"/>
        <w:jc w:val="both"/>
      </w:pPr>
      <w:r>
        <w:t xml:space="preserve">В силу </w:t>
      </w:r>
      <w:hyperlink r:id="rId19" w:history="1">
        <w:r>
          <w:rPr>
            <w:rStyle w:val="a4"/>
          </w:rPr>
          <w:t>статьи 210</w:t>
        </w:r>
      </w:hyperlink>
      <w:r>
        <w:t xml:space="preserve"> Гражданского кодекса Россий</w:t>
      </w:r>
      <w:r>
        <w:t>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000000" w:rsidRDefault="00E523F3">
      <w:pPr>
        <w:ind w:firstLine="720"/>
        <w:jc w:val="both"/>
      </w:pPr>
      <w:r>
        <w:t xml:space="preserve">Аналогичная обязанность собственника помещения установлена в </w:t>
      </w:r>
      <w:hyperlink r:id="rId20" w:history="1">
        <w:r>
          <w:rPr>
            <w:rStyle w:val="a4"/>
          </w:rPr>
          <w:t>статье 39</w:t>
        </w:r>
      </w:hyperlink>
      <w:r>
        <w:t xml:space="preserve"> Жилищного кодекса Российской Федерации, согласно которой собственники помещений в многоквартирном жилом доме несут бремя расходов на содержание общего имущества в многоквартирном доме. Доля обязательных расходов на содержание общего имущества </w:t>
      </w:r>
      <w:r>
        <w:t>в многоквартирном доме, бремя которых несет собственник помещения в таком доме, определяется долей в праве общей собственности на общее имущество в таком доме указанного собственника.</w:t>
      </w:r>
    </w:p>
    <w:p w:rsidR="00000000" w:rsidRDefault="00E523F3">
      <w:pPr>
        <w:ind w:firstLine="720"/>
        <w:jc w:val="both"/>
      </w:pPr>
      <w:r>
        <w:t xml:space="preserve">В </w:t>
      </w:r>
      <w:hyperlink r:id="rId21" w:history="1">
        <w:r>
          <w:rPr>
            <w:rStyle w:val="a4"/>
          </w:rPr>
          <w:t>стат</w:t>
        </w:r>
        <w:r>
          <w:rPr>
            <w:rStyle w:val="a4"/>
          </w:rPr>
          <w:t>ье 155</w:t>
        </w:r>
      </w:hyperlink>
      <w:r>
        <w:t xml:space="preserve"> Жилищного кодекса Российской Федерации предусмотрено, что собственники помещений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 и управ</w:t>
      </w:r>
      <w:r>
        <w:t>ление которым осуществляется управляющей организацией, плату за жилое помещение и коммунальные услуги вносят этой управляющей организации.</w:t>
      </w:r>
    </w:p>
    <w:p w:rsidR="00000000" w:rsidRDefault="00E523F3">
      <w:pPr>
        <w:ind w:firstLine="720"/>
        <w:jc w:val="both"/>
      </w:pPr>
      <w:r>
        <w:t xml:space="preserve">В соответствии со </w:t>
      </w:r>
      <w:hyperlink r:id="rId22" w:history="1">
        <w:r>
          <w:rPr>
            <w:rStyle w:val="a4"/>
          </w:rPr>
          <w:t>статьей 1102</w:t>
        </w:r>
      </w:hyperlink>
      <w:r>
        <w:t xml:space="preserve"> Гражданского код</w:t>
      </w:r>
      <w:r>
        <w:t>екса Российской Федерации лицо, которое без установленных законом, иными правовыми актами или сделкой оснований приобрело или сберегло имущество за счет другого лица, обязано возвратить последнему неосновательно приобретенное или сбереженное имущество.</w:t>
      </w:r>
    </w:p>
    <w:p w:rsidR="00000000" w:rsidRDefault="00E523F3">
      <w:pPr>
        <w:ind w:firstLine="720"/>
        <w:jc w:val="both"/>
      </w:pPr>
      <w:r>
        <w:t>Лицо, неосновательно временно пользовавшееся чужим имуществом без намерения его приобрести либо чужими услугами, должно возместить потерпевшему то, что оно сберегло вследствие такого пользования, по цене, существовавшей во время, когда закончилось пользова</w:t>
      </w:r>
      <w:r>
        <w:t>ние, и в том месте, где оно происходило (</w:t>
      </w:r>
      <w:hyperlink r:id="rId23" w:history="1">
        <w:r>
          <w:rPr>
            <w:rStyle w:val="a4"/>
          </w:rPr>
          <w:t>часть 2 статьи 1105</w:t>
        </w:r>
      </w:hyperlink>
      <w:r>
        <w:t xml:space="preserve"> Гражданского кодекса Российской Федерации).</w:t>
      </w:r>
    </w:p>
    <w:p w:rsidR="00000000" w:rsidRDefault="00E523F3">
      <w:pPr>
        <w:ind w:firstLine="720"/>
        <w:jc w:val="both"/>
      </w:pPr>
      <w:r>
        <w:t xml:space="preserve">Правила </w:t>
      </w:r>
      <w:hyperlink r:id="rId24" w:history="1">
        <w:r>
          <w:rPr>
            <w:rStyle w:val="a4"/>
          </w:rPr>
          <w:t>главы</w:t>
        </w:r>
        <w:r>
          <w:rPr>
            <w:rStyle w:val="a4"/>
          </w:rPr>
          <w:t xml:space="preserve"> 60</w:t>
        </w:r>
      </w:hyperlink>
      <w:r>
        <w:t xml:space="preserve"> Гражданского кодекса Российской Федерации применяются независимо от того, явилось ли неосновательное обогащение результатом поведения приобретателя имущества, самого потерпевшего, третьих лиц или произошло помимо их воли.</w:t>
      </w:r>
    </w:p>
    <w:p w:rsidR="00000000" w:rsidRDefault="00E523F3">
      <w:pPr>
        <w:ind w:firstLine="720"/>
        <w:jc w:val="both"/>
      </w:pPr>
      <w:r>
        <w:t>Вступившими в законную силу</w:t>
      </w:r>
      <w:r>
        <w:t xml:space="preserve"> решениями Арбитражного суда Костромской области по делам N А31-5740/2010 от 30.11.2010 и N А31-6079/2010 от 24.12.2010 установлено, что функции управляющей организации спорных многоквартирных жилых домов с 01.07.2010 по 31.12.2010 осуществлял истец. Данны</w:t>
      </w:r>
      <w:r>
        <w:t>й факт Предприятие в кассационной жалобе не оспаривает.</w:t>
      </w:r>
    </w:p>
    <w:p w:rsidR="00000000" w:rsidRDefault="00E523F3">
      <w:pPr>
        <w:ind w:firstLine="720"/>
        <w:jc w:val="both"/>
      </w:pPr>
      <w:r>
        <w:t>Вместе с тем судами установлено и материалами дела подтверждается, что денежные средства за содержание и обслуживание с 01.07.2010 по 31.12.2010 общего имущества управляемых истцом многоквартирных жил</w:t>
      </w:r>
      <w:r>
        <w:t>ых домов в размере 2 095 391 рубля перечислены Предприятию.</w:t>
      </w:r>
    </w:p>
    <w:p w:rsidR="00000000" w:rsidRDefault="00E523F3">
      <w:pPr>
        <w:ind w:firstLine="720"/>
        <w:jc w:val="both"/>
      </w:pPr>
      <w:r>
        <w:t>При таких обстоятельствах суды двух инстанций правомерно пришли к выводу о наличии неосновательного обогащения на стороне Предприятия за счет Общества и удовлетворили исковые требования.</w:t>
      </w:r>
    </w:p>
    <w:p w:rsidR="00000000" w:rsidRDefault="00E523F3">
      <w:pPr>
        <w:ind w:firstLine="720"/>
        <w:jc w:val="both"/>
      </w:pPr>
      <w:r>
        <w:t>Ссылка за</w:t>
      </w:r>
      <w:r>
        <w:t>явителя на договор на оказание услуг по содержанию и обслуживанию общедомового имущества многоквартирных жилых домов от 01.07.2010 и агентский договор от 01.07.2010, подписанные Предприятием и ООО "Вариант", судом округа не принимается, поскольку в нарушен</w:t>
      </w:r>
      <w:r>
        <w:t xml:space="preserve">ие </w:t>
      </w:r>
      <w:hyperlink r:id="rId25" w:history="1">
        <w:r>
          <w:rPr>
            <w:rStyle w:val="a4"/>
          </w:rPr>
          <w:t>статьи 65</w:t>
        </w:r>
      </w:hyperlink>
      <w:r>
        <w:t xml:space="preserve"> Арбитражного процессуального кодекса Российской Федерации Предприятие не представило судам доказательств исполнения данных договоров (акты сверок и выполненных работ), перечис</w:t>
      </w:r>
      <w:r>
        <w:t>ления полученных денежных средств за содержание и обслуживание управляемых Обществом многоквартирных домов ООО "Вариант" и фактического несения расходов на содержание общего имущества спорных многоквартирных домов.</w:t>
      </w:r>
    </w:p>
    <w:p w:rsidR="00000000" w:rsidRDefault="00E523F3">
      <w:pPr>
        <w:ind w:firstLine="720"/>
        <w:jc w:val="both"/>
      </w:pPr>
      <w:r>
        <w:t xml:space="preserve">Переоценка доказательств и установленных </w:t>
      </w:r>
      <w:r>
        <w:t xml:space="preserve">судами фактических обстоятельств не входит в компетенцию суда кассационной инстанции в силу </w:t>
      </w:r>
      <w:hyperlink r:id="rId26" w:history="1">
        <w:r>
          <w:rPr>
            <w:rStyle w:val="a4"/>
          </w:rPr>
          <w:t>статьи 286</w:t>
        </w:r>
      </w:hyperlink>
      <w:r>
        <w:t xml:space="preserve"> Арбитражного процессуального кодекса Российской Федерации.</w:t>
      </w:r>
    </w:p>
    <w:p w:rsidR="00000000" w:rsidRDefault="00E523F3">
      <w:pPr>
        <w:ind w:firstLine="720"/>
        <w:jc w:val="both"/>
      </w:pPr>
      <w:r>
        <w:t xml:space="preserve">Обжалуемые судебные акты </w:t>
      </w:r>
      <w:r>
        <w:t xml:space="preserve">соответствуют нормам материального права, изложенные в них выводы - установленным по делу фактическим обстоятельствам и имеющимся в деле доказательствам. Нарушений норм процессуального права, являющихся в соответствии с </w:t>
      </w:r>
      <w:hyperlink r:id="rId27" w:history="1">
        <w:r>
          <w:rPr>
            <w:rStyle w:val="a4"/>
          </w:rPr>
          <w:t>частью 4 статьи 288</w:t>
        </w:r>
      </w:hyperlink>
      <w:r>
        <w:t xml:space="preserve"> Арбитражного процессуального кодекса Российской Федерации основаниями для отмены судебных актов в любом случае, судом округа не установлено. Кассационная жалоба не подлежит удовлетворению.</w:t>
      </w:r>
    </w:p>
    <w:p w:rsidR="00000000" w:rsidRDefault="00E523F3">
      <w:pPr>
        <w:ind w:firstLine="720"/>
        <w:jc w:val="both"/>
      </w:pPr>
      <w:r>
        <w:t>Расходы по г</w:t>
      </w:r>
      <w:r>
        <w:t xml:space="preserve">осударственной пошлине относятся на заявителя кассационной жалобы на основании </w:t>
      </w:r>
      <w:hyperlink r:id="rId28" w:history="1">
        <w:r>
          <w:rPr>
            <w:rStyle w:val="a4"/>
          </w:rPr>
          <w:t>части 1 статьи 110</w:t>
        </w:r>
      </w:hyperlink>
      <w:r>
        <w:t xml:space="preserve"> Арбитражного процессуального кодекса Российской Федерации.</w:t>
      </w:r>
    </w:p>
    <w:p w:rsidR="00000000" w:rsidRDefault="00E523F3">
      <w:pPr>
        <w:ind w:firstLine="720"/>
        <w:jc w:val="both"/>
      </w:pPr>
      <w:bookmarkStart w:id="3" w:name="sub_30005"/>
      <w:r>
        <w:t xml:space="preserve">Руководствуясь </w:t>
      </w:r>
      <w:hyperlink r:id="rId29" w:history="1">
        <w:r>
          <w:rPr>
            <w:rStyle w:val="a4"/>
          </w:rPr>
          <w:t>статьями 287 (пунктом 1 части 1)</w:t>
        </w:r>
      </w:hyperlink>
      <w:r>
        <w:t xml:space="preserve"> и </w:t>
      </w:r>
      <w:hyperlink r:id="rId30" w:history="1">
        <w:r>
          <w:rPr>
            <w:rStyle w:val="a4"/>
          </w:rPr>
          <w:t>289</w:t>
        </w:r>
      </w:hyperlink>
      <w:r>
        <w:t xml:space="preserve"> Арбитражного процессуального кодекса Российской Федерации, Федеральный арбитражный суд Волго-Вятского округа постановил:</w:t>
      </w:r>
    </w:p>
    <w:bookmarkEnd w:id="3"/>
    <w:p w:rsidR="00000000" w:rsidRDefault="00E523F3">
      <w:pPr>
        <w:ind w:firstLine="720"/>
        <w:jc w:val="both"/>
      </w:pPr>
      <w:r>
        <w:fldChar w:fldCharType="begin"/>
      </w:r>
      <w:r>
        <w:instrText>HYPERLINK "http://garant.mipcnet.org/document?id=58512860&amp;sub=0"</w:instrText>
      </w:r>
      <w:r>
        <w:fldChar w:fldCharType="separate"/>
      </w:r>
      <w:r>
        <w:rPr>
          <w:rStyle w:val="a4"/>
        </w:rPr>
        <w:t>решение</w:t>
      </w:r>
      <w:r>
        <w:fldChar w:fldCharType="end"/>
      </w:r>
      <w:r>
        <w:t xml:space="preserve"> Арбитражного суда Костромской области от 26.04.201</w:t>
      </w:r>
      <w:r>
        <w:t xml:space="preserve">2 и </w:t>
      </w:r>
      <w:hyperlink r:id="rId31" w:history="1">
        <w:r>
          <w:rPr>
            <w:rStyle w:val="a4"/>
          </w:rPr>
          <w:t>постановление</w:t>
        </w:r>
      </w:hyperlink>
      <w:r>
        <w:t xml:space="preserve"> Второго арбитражного апелляционного суда от 06.08.2012 по делу N А31-9158/2011 оставить без изменения, кассационную жалобу муниципального унитарного предприятия "Коммуналь</w:t>
      </w:r>
      <w:r>
        <w:t>ник" - без удовлетворения.</w:t>
      </w:r>
    </w:p>
    <w:p w:rsidR="00000000" w:rsidRDefault="00E523F3">
      <w:pPr>
        <w:ind w:firstLine="720"/>
        <w:jc w:val="both"/>
      </w:pPr>
      <w:r>
        <w:t>Постановление арбитражного суда кассационной инстанции вступает в законную силу со дня его принятия.</w:t>
      </w:r>
    </w:p>
    <w:p w:rsidR="00000000" w:rsidRDefault="00E523F3">
      <w:pPr>
        <w:ind w:firstLine="72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6"/>
        <w:gridCol w:w="3433"/>
      </w:tblGrid>
      <w:tr w:rsidR="00000000" w:rsidRPr="00E523F3">
        <w:tblPrEx>
          <w:tblCellMar>
            <w:top w:w="0" w:type="dxa"/>
            <w:bottom w:w="0" w:type="dxa"/>
          </w:tblCellMar>
        </w:tblPrEx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E523F3" w:rsidRDefault="00E523F3">
            <w:pPr>
              <w:pStyle w:val="afff1"/>
              <w:rPr>
                <w:sz w:val="26"/>
                <w:szCs w:val="26"/>
              </w:rPr>
            </w:pPr>
            <w:r w:rsidRPr="00E523F3">
              <w:rPr>
                <w:sz w:val="26"/>
                <w:szCs w:val="26"/>
              </w:rPr>
              <w:t>Председательствующий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E523F3" w:rsidRDefault="00E523F3">
            <w:pPr>
              <w:pStyle w:val="aff8"/>
              <w:jc w:val="right"/>
              <w:rPr>
                <w:sz w:val="26"/>
                <w:szCs w:val="26"/>
              </w:rPr>
            </w:pPr>
            <w:r w:rsidRPr="00E523F3">
              <w:rPr>
                <w:sz w:val="26"/>
                <w:szCs w:val="26"/>
              </w:rPr>
              <w:t>А.Н. Чих</w:t>
            </w:r>
          </w:p>
        </w:tc>
      </w:tr>
    </w:tbl>
    <w:p w:rsidR="00000000" w:rsidRDefault="00E523F3">
      <w:pPr>
        <w:ind w:firstLine="72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6"/>
        <w:gridCol w:w="3433"/>
      </w:tblGrid>
      <w:tr w:rsidR="00000000" w:rsidRPr="00E523F3">
        <w:tblPrEx>
          <w:tblCellMar>
            <w:top w:w="0" w:type="dxa"/>
            <w:bottom w:w="0" w:type="dxa"/>
          </w:tblCellMar>
        </w:tblPrEx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E523F3" w:rsidRDefault="00E523F3">
            <w:pPr>
              <w:pStyle w:val="afff1"/>
              <w:rPr>
                <w:sz w:val="26"/>
                <w:szCs w:val="26"/>
              </w:rPr>
            </w:pPr>
            <w:r w:rsidRPr="00E523F3">
              <w:rPr>
                <w:sz w:val="26"/>
                <w:szCs w:val="26"/>
              </w:rPr>
              <w:t>Судьи</w:t>
            </w:r>
            <w:r w:rsidRPr="00E523F3">
              <w:rPr>
                <w:sz w:val="26"/>
                <w:szCs w:val="26"/>
              </w:rPr>
              <w:br/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E523F3" w:rsidRDefault="00E523F3">
            <w:pPr>
              <w:pStyle w:val="aff8"/>
              <w:jc w:val="right"/>
              <w:rPr>
                <w:sz w:val="26"/>
                <w:szCs w:val="26"/>
              </w:rPr>
            </w:pPr>
            <w:r w:rsidRPr="00E523F3">
              <w:rPr>
                <w:sz w:val="26"/>
                <w:szCs w:val="26"/>
              </w:rPr>
              <w:t>Е.В. Елисеева</w:t>
            </w:r>
            <w:r w:rsidRPr="00E523F3">
              <w:rPr>
                <w:sz w:val="26"/>
                <w:szCs w:val="26"/>
              </w:rPr>
              <w:br/>
              <w:t>Н.А. Каширская</w:t>
            </w:r>
          </w:p>
        </w:tc>
      </w:tr>
    </w:tbl>
    <w:p w:rsidR="00E523F3" w:rsidRDefault="00E523F3">
      <w:pPr>
        <w:ind w:firstLine="720"/>
        <w:jc w:val="both"/>
      </w:pPr>
    </w:p>
    <w:sectPr w:rsidR="00E523F3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991"/>
    <w:rsid w:val="00D55991"/>
    <w:rsid w:val="00E5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a5">
    <w:name w:val="Активная гиперссылка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a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character" w:customStyle="1" w:styleId="ab">
    <w:name w:val="Сравнение редакций"/>
    <w:uiPriority w:val="99"/>
    <w:rPr>
      <w:b w:val="0"/>
      <w:bCs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e">
    <w:name w:val="Заголовок *"/>
    <w:basedOn w:val="ad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f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1">
    <w:name w:val="Заголовок полученного сообщения"/>
    <w:uiPriority w:val="99"/>
    <w:rPr>
      <w:b w:val="0"/>
      <w:bCs w:val="0"/>
      <w:color w:val="FF0000"/>
    </w:rPr>
  </w:style>
  <w:style w:type="paragraph" w:customStyle="1" w:styleId="af2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uiPriority w:val="99"/>
    <w:rPr>
      <w:b w:val="0"/>
      <w:bCs w:val="0"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8">
    <w:name w:val="Интерактивный заголовок"/>
    <w:basedOn w:val="ae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pPr>
      <w:spacing w:before="0"/>
      <w:ind w:left="0"/>
    </w:pPr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f">
    <w:name w:val="Колонтитул (ле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1">
    <w:name w:val="Колонтитул (правый)"/>
    <w:basedOn w:val="aff0"/>
    <w:next w:val="a"/>
    <w:uiPriority w:val="99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spacing w:before="0"/>
      <w:ind w:left="0"/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5">
    <w:name w:val="Найденные слова"/>
    <w:uiPriority w:val="99"/>
    <w:rPr>
      <w:b w:val="0"/>
      <w:bCs w:val="0"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Pr>
      <w:b w:val="0"/>
      <w:bCs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8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9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a">
    <w:name w:val="Оглавление"/>
    <w:basedOn w:val="aff9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d"/>
    <w:next w:val="a"/>
    <w:uiPriority w:val="99"/>
    <w:rPr>
      <w:rFonts w:ascii="Arial" w:hAnsi="Arial" w:cs="Arial"/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  <w:sz w:val="24"/>
      <w:szCs w:val="24"/>
    </w:rPr>
  </w:style>
  <w:style w:type="paragraph" w:customStyle="1" w:styleId="afff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0">
    <w:name w:val="Постоянная часть *"/>
    <w:basedOn w:val="ad"/>
    <w:next w:val="a"/>
    <w:uiPriority w:val="99"/>
    <w:rPr>
      <w:rFonts w:ascii="Arial" w:hAnsi="Arial" w:cs="Arial"/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2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paragraph" w:customStyle="1" w:styleId="afff6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uiPriority w:val="99"/>
    <w:rPr>
      <w:b w:val="0"/>
      <w:bCs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.mipcnet.org/document?id=10064072&amp;sub=210" TargetMode="External"/><Relationship Id="rId13" Type="http://schemas.openxmlformats.org/officeDocument/2006/relationships/hyperlink" Target="http://garant.mipcnet.org/document?id=58512860&amp;sub=0" TargetMode="External"/><Relationship Id="rId18" Type="http://schemas.openxmlformats.org/officeDocument/2006/relationships/hyperlink" Target="http://garant.mipcnet.org/document?id=10064072&amp;sub=8" TargetMode="External"/><Relationship Id="rId26" Type="http://schemas.openxmlformats.org/officeDocument/2006/relationships/hyperlink" Target="http://garant.mipcnet.org/document?id=12027526&amp;sub=28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garant.mipcnet.org/document?id=12038291&amp;sub=155" TargetMode="External"/><Relationship Id="rId7" Type="http://schemas.openxmlformats.org/officeDocument/2006/relationships/hyperlink" Target="http://garant.mipcnet.org/document?id=12038291&amp;sub=157" TargetMode="External"/><Relationship Id="rId12" Type="http://schemas.openxmlformats.org/officeDocument/2006/relationships/hyperlink" Target="http://garant.mipcnet.org/document?id=53923113&amp;sub=0" TargetMode="External"/><Relationship Id="rId17" Type="http://schemas.openxmlformats.org/officeDocument/2006/relationships/hyperlink" Target="http://garant.mipcnet.org/document?id=12027526&amp;sub=286" TargetMode="External"/><Relationship Id="rId25" Type="http://schemas.openxmlformats.org/officeDocument/2006/relationships/hyperlink" Target="http://garant.mipcnet.org/document?id=12027526&amp;sub=6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garant.mipcnet.org/document?id=12027526&amp;sub=284" TargetMode="External"/><Relationship Id="rId20" Type="http://schemas.openxmlformats.org/officeDocument/2006/relationships/hyperlink" Target="http://garant.mipcnet.org/document?id=12038291&amp;sub=39" TargetMode="External"/><Relationship Id="rId29" Type="http://schemas.openxmlformats.org/officeDocument/2006/relationships/hyperlink" Target="http://garant.mipcnet.org/document?id=12027526&amp;sub=28711" TargetMode="External"/><Relationship Id="rId1" Type="http://schemas.openxmlformats.org/officeDocument/2006/relationships/styles" Target="styles.xml"/><Relationship Id="rId6" Type="http://schemas.openxmlformats.org/officeDocument/2006/relationships/hyperlink" Target="http://garant.mipcnet.org/document?id=12027526&amp;sub=49" TargetMode="External"/><Relationship Id="rId11" Type="http://schemas.openxmlformats.org/officeDocument/2006/relationships/hyperlink" Target="http://garant.mipcnet.org/document?id=53923113&amp;sub=0" TargetMode="External"/><Relationship Id="rId24" Type="http://schemas.openxmlformats.org/officeDocument/2006/relationships/hyperlink" Target="http://garant.mipcnet.org/document?id=10064072&amp;sub=206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garant.mipcnet.org/document?id=53923113&amp;sub=0" TargetMode="External"/><Relationship Id="rId15" Type="http://schemas.openxmlformats.org/officeDocument/2006/relationships/hyperlink" Target="http://garant.mipcnet.org/document?id=12027526&amp;sub=274" TargetMode="External"/><Relationship Id="rId23" Type="http://schemas.openxmlformats.org/officeDocument/2006/relationships/hyperlink" Target="http://garant.mipcnet.org/document?id=10064072&amp;sub=11052" TargetMode="External"/><Relationship Id="rId28" Type="http://schemas.openxmlformats.org/officeDocument/2006/relationships/hyperlink" Target="http://garant.mipcnet.org/document?id=12027526&amp;sub=11001" TargetMode="External"/><Relationship Id="rId10" Type="http://schemas.openxmlformats.org/officeDocument/2006/relationships/hyperlink" Target="http://garant.mipcnet.org/document?id=10064072&amp;sub=1105" TargetMode="External"/><Relationship Id="rId19" Type="http://schemas.openxmlformats.org/officeDocument/2006/relationships/hyperlink" Target="http://garant.mipcnet.org/document?id=10064072&amp;sub=210" TargetMode="External"/><Relationship Id="rId31" Type="http://schemas.openxmlformats.org/officeDocument/2006/relationships/hyperlink" Target="http://garant.mipcnet.org/document?id=53923113&amp;sub=0" TargetMode="External"/><Relationship Id="rId4" Type="http://schemas.openxmlformats.org/officeDocument/2006/relationships/hyperlink" Target="http://garant.mipcnet.org/document?id=58512860&amp;sub=0" TargetMode="External"/><Relationship Id="rId9" Type="http://schemas.openxmlformats.org/officeDocument/2006/relationships/hyperlink" Target="http://garant.mipcnet.org/document?id=10064072&amp;sub=1102" TargetMode="External"/><Relationship Id="rId14" Type="http://schemas.openxmlformats.org/officeDocument/2006/relationships/hyperlink" Target="http://garant.mipcnet.org/document?id=53923113&amp;sub=0" TargetMode="External"/><Relationship Id="rId22" Type="http://schemas.openxmlformats.org/officeDocument/2006/relationships/hyperlink" Target="http://garant.mipcnet.org/document?id=10064072&amp;sub=1102" TargetMode="External"/><Relationship Id="rId27" Type="http://schemas.openxmlformats.org/officeDocument/2006/relationships/hyperlink" Target="http://garant.mipcnet.org/document?id=12027526&amp;sub=28804" TargetMode="External"/><Relationship Id="rId30" Type="http://schemas.openxmlformats.org/officeDocument/2006/relationships/hyperlink" Target="http://garant.mipcnet.org/document?id=12027526&amp;sub=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2005</Words>
  <Characters>11433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 Федерального арбитражного суда Волго-Вятского округа от 11 декабря</vt:lpstr>
    </vt:vector>
  </TitlesOfParts>
  <Company>НПП "Гарант-Сервис"</Company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Филин Сергей Александрович</cp:lastModifiedBy>
  <cp:revision>2</cp:revision>
  <dcterms:created xsi:type="dcterms:W3CDTF">2013-10-28T07:45:00Z</dcterms:created>
  <dcterms:modified xsi:type="dcterms:W3CDTF">2013-10-28T07:45:00Z</dcterms:modified>
</cp:coreProperties>
</file>