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F" w:rsidRDefault="000D4A9F">
      <w:pPr>
        <w:shd w:val="clear" w:color="auto" w:fill="FFFFFF"/>
        <w:spacing w:after="240"/>
        <w:jc w:val="right"/>
        <w:divId w:val="128132465"/>
      </w:pPr>
      <w:bookmarkStart w:id="0" w:name="_GoBack"/>
      <w:bookmarkEnd w:id="0"/>
      <w:r>
        <w:rPr>
          <w:b/>
          <w:bCs/>
          <w:sz w:val="24"/>
          <w:szCs w:val="24"/>
        </w:rPr>
        <w:t>ГОСТ 1510-84</w:t>
      </w:r>
    </w:p>
    <w:p w:rsidR="000D4A9F" w:rsidRDefault="000D4A9F">
      <w:pPr>
        <w:shd w:val="clear" w:color="auto" w:fill="FFFFFF"/>
        <w:jc w:val="center"/>
        <w:divId w:val="128132465"/>
      </w:pPr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p w:rsidR="000D4A9F" w:rsidRDefault="000D4A9F">
      <w:pPr>
        <w:shd w:val="clear" w:color="auto" w:fill="FFFFFF"/>
        <w:spacing w:before="240" w:after="240"/>
        <w:jc w:val="center"/>
      </w:pPr>
      <w:r>
        <w:rPr>
          <w:b/>
          <w:bCs/>
          <w:sz w:val="28"/>
          <w:szCs w:val="28"/>
        </w:rPr>
        <w:t>НЕФТЬ И НЕФТЕПРОДУКТЫ</w:t>
      </w:r>
    </w:p>
    <w:p w:rsidR="000D4A9F" w:rsidRDefault="000D4A9F">
      <w:pPr>
        <w:shd w:val="clear" w:color="auto" w:fill="FFFFFF"/>
        <w:spacing w:before="240" w:after="360"/>
        <w:jc w:val="center"/>
      </w:pPr>
      <w:r>
        <w:rPr>
          <w:b/>
          <w:bCs/>
          <w:sz w:val="24"/>
          <w:szCs w:val="24"/>
        </w:rPr>
        <w:t>МАРКИРОВКА, УПАКОВКА, ТРАНСПОРТИРОВАНИЕ И ХРАНЕНИЕ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712"/>
      </w:tblGrid>
      <w:tr w:rsidR="000D4A9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>
                  <wp:extent cx="388620" cy="327660"/>
                  <wp:effectExtent l="0" t="0" r="0" b="0"/>
                  <wp:docPr id="1" name="Рисунок 1" descr="C:\Users\FILIN-~1\AppData\Local\Temp\ns\FC0F.file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FILIN-~1\AppData\Local\Temp\ns\FC0F.fil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</w:rPr>
              <w:t>Москва</w:t>
            </w:r>
          </w:p>
          <w:p w:rsidR="000D4A9F" w:rsidRDefault="000D4A9F">
            <w:pPr>
              <w:jc w:val="center"/>
            </w:pPr>
            <w:r>
              <w:rPr>
                <w:b/>
                <w:bCs/>
              </w:rPr>
              <w:t>Стандартинформ</w:t>
            </w:r>
          </w:p>
          <w:p w:rsidR="000D4A9F" w:rsidRDefault="000D4A9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2010</w:t>
            </w:r>
          </w:p>
        </w:tc>
      </w:tr>
    </w:tbl>
    <w:p w:rsidR="000D4A9F" w:rsidRDefault="000D4A9F">
      <w:pPr>
        <w:shd w:val="clear" w:color="auto" w:fill="FFFFFF"/>
        <w:spacing w:before="360" w:after="120"/>
        <w:jc w:val="center"/>
        <w:rPr>
          <w:rFonts w:eastAsiaTheme="minorEastAsia"/>
          <w:sz w:val="20"/>
          <w:szCs w:val="20"/>
        </w:rPr>
      </w:pPr>
      <w:r>
        <w:rPr>
          <w:b/>
          <w:bCs/>
          <w:spacing w:val="40"/>
          <w:sz w:val="24"/>
          <w:szCs w:val="24"/>
        </w:rPr>
        <w:t>МЕЖГОСУДАРСТВЕННЫЙ 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2454"/>
      </w:tblGrid>
      <w:tr w:rsidR="000D4A9F">
        <w:trPr>
          <w:jc w:val="center"/>
        </w:trPr>
        <w:tc>
          <w:tcPr>
            <w:tcW w:w="36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spacing w:before="120" w:after="1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НЕФТЬ И НЕФТЕПРОДУКТЫ</w:t>
            </w:r>
          </w:p>
          <w:p w:rsidR="000D4A9F" w:rsidRDefault="000D4A9F">
            <w:pPr>
              <w:shd w:val="clear" w:color="auto" w:fill="FFFFFF"/>
              <w:spacing w:before="120" w:after="120"/>
              <w:jc w:val="center"/>
            </w:pPr>
            <w:r>
              <w:rPr>
                <w:b/>
                <w:bCs/>
                <w:sz w:val="24"/>
                <w:szCs w:val="24"/>
              </w:rPr>
              <w:t>Маркировка, упаковка, транспортирование и хранение</w:t>
            </w:r>
          </w:p>
          <w:p w:rsidR="000D4A9F" w:rsidRPr="000D4A9F" w:rsidRDefault="000D4A9F">
            <w:pPr>
              <w:shd w:val="clear" w:color="auto" w:fill="FFFFFF"/>
              <w:autoSpaceDE w:val="0"/>
              <w:autoSpaceDN w:val="0"/>
              <w:spacing w:before="120" w:after="120"/>
              <w:jc w:val="center"/>
              <w:rPr>
                <w:rFonts w:eastAsiaTheme="minorEastAsia"/>
                <w:lang w:val="en-US"/>
              </w:rPr>
            </w:pPr>
            <w:r w:rsidRPr="000D4A9F">
              <w:rPr>
                <w:sz w:val="24"/>
                <w:szCs w:val="24"/>
                <w:lang w:val="en-US"/>
              </w:rPr>
              <w:t xml:space="preserve">Petroleum and petroleum products. </w:t>
            </w:r>
            <w:r w:rsidRPr="000D4A9F">
              <w:rPr>
                <w:sz w:val="24"/>
                <w:szCs w:val="24"/>
                <w:lang w:val="en-US"/>
              </w:rPr>
              <w:br/>
              <w:t>Marking, packing, transportation and storage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spacing w:before="120" w:after="120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 xml:space="preserve">ГОСТ </w:t>
            </w:r>
            <w:r>
              <w:rPr>
                <w:b/>
                <w:bCs/>
                <w:sz w:val="28"/>
                <w:szCs w:val="28"/>
              </w:rPr>
              <w:br/>
              <w:t>1510-84</w:t>
            </w:r>
          </w:p>
        </w:tc>
      </w:tr>
    </w:tbl>
    <w:p w:rsidR="000D4A9F" w:rsidRDefault="000D4A9F">
      <w:pPr>
        <w:shd w:val="clear" w:color="auto" w:fill="FFFFFF"/>
        <w:spacing w:before="120" w:after="120"/>
        <w:ind w:firstLine="284"/>
        <w:jc w:val="right"/>
        <w:rPr>
          <w:rFonts w:eastAsiaTheme="minorEastAsia"/>
          <w:sz w:val="20"/>
          <w:szCs w:val="20"/>
        </w:rPr>
      </w:pPr>
      <w:r>
        <w:rPr>
          <w:b/>
          <w:bCs/>
          <w:sz w:val="24"/>
          <w:szCs w:val="24"/>
        </w:rPr>
        <w:t xml:space="preserve">Дата введения </w:t>
      </w:r>
      <w:r>
        <w:rPr>
          <w:b/>
          <w:bCs/>
          <w:sz w:val="24"/>
          <w:szCs w:val="24"/>
          <w:u w:val="single"/>
        </w:rPr>
        <w:t>01.01.86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Настоящий стандарт устанавливает виды тары, хранилищ и транспортных средств для нефти и нефтепродуктов (в том числе углеводородных сжиженных газов), требования к их подготовке, заполнению и маркировке, условия транспортирования и хранения, а также требования безопасности при упаковывании, транспортировании и хранении нефти и нефтепродуктов.</w:t>
      </w:r>
    </w:p>
    <w:p w:rsidR="000D4A9F" w:rsidRDefault="000D4A9F">
      <w:pPr>
        <w:pStyle w:val="1"/>
        <w:rPr>
          <w:rFonts w:eastAsia="Times New Roman"/>
        </w:rPr>
      </w:pPr>
      <w:bookmarkStart w:id="1" w:name="_Toc289363309"/>
      <w:r>
        <w:rPr>
          <w:rFonts w:eastAsia="Times New Roman"/>
        </w:rPr>
        <w:t>1. МАРКИРОВКА</w:t>
      </w:r>
      <w:bookmarkEnd w:id="1"/>
    </w:p>
    <w:p w:rsidR="000D4A9F" w:rsidRDefault="000D4A9F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1.1. На потребительскую тару наклеивают бумажную этикетку либо делают надпись, содержащую: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наименование нефтепродукта, его марку;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обозначение стандарта;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товарный знак предприятия-изготовителя (при упаковывании нефтепродуктов на нефтебазе указывают ее наименование);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массу нетто или объем;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дату - месяц и год изготовления нефтепродукта;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номер партии;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lastRenderedPageBreak/>
        <w:t>надписи: «Огнеопасно» для легковоспламеняющихся нефтепродуктов, «Яд» - для ядовитых;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цену, если нефтепродукт предназначен для розничной торговли.</w:t>
      </w:r>
    </w:p>
    <w:p w:rsidR="000D4A9F" w:rsidRDefault="000D4A9F">
      <w:pPr>
        <w:shd w:val="clear" w:color="auto" w:fill="FFFFFF"/>
        <w:ind w:firstLine="283"/>
        <w:jc w:val="both"/>
      </w:pPr>
      <w:bookmarkStart w:id="2" w:name="PO0000003"/>
      <w:r>
        <w:rPr>
          <w:sz w:val="24"/>
          <w:szCs w:val="24"/>
        </w:rPr>
        <w:t>1.2. На каждой единице транспортной тары с нефтепродуктом должна быть сделана с помощью трафарета или штампа несмываемая водой и нефтепродуктами надпись, содержащая:</w:t>
      </w:r>
      <w:bookmarkEnd w:id="2"/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наименование нефтепродукта, марку (допускается для пластичных смазок указывать их сокращенные наименования);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товарный знак предприятия-изготовителя;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массу брутто и нетто;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дату - месяц и год изготовления нефтепродукта;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номер партии;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обозначение стандарта.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Если на транспортной таре с нефтепродуктами не может быть сделана указанная надпись, то к таре прикрепляют ярлык или наклеивают этикетку с этой надписью, а на самой таре делают штампом или трафаретом, несмываемую водой и нефтепродуктами надпись, содержащую наименование нефтепродукта и дату его изготовления.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транспортировании битумов (с температурой по методу КиШ не ниже 70 °С) в бумажных мешках партиями не менее одной железнодорожной платформы, полувагона, автомашины или автоприцепа допускается маркировать один мешок на каждые 6 - 12 мешков с указанием марки нефтепродукта, обозначения стандарта и товарного знака предприятия-изготовителя.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упаковывании битума в разовую тару (барабан) массу нетто и брутто допускается не указывать.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1.3. Мягкие контейнеры и резинотканевые резервуары, предназначенные для нефтепродукта определенной марки, должны иметь постоянную надпись с наименованием нефтепродукта.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1.4. В ящик с упакованным в потребительскую тару нефтепродуктом вкладывают ярлык (или наклеивают этикетку), содержащий следующие данные: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товарный знак предприятия-изготовителя;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объем и количество потребительской тары;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номер упаковщика;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дату упаковывания.</w:t>
      </w:r>
    </w:p>
    <w:p w:rsidR="000D4A9F" w:rsidRDefault="000D4A9F">
      <w:pPr>
        <w:shd w:val="clear" w:color="auto" w:fill="FFFFFF"/>
        <w:ind w:firstLine="283"/>
        <w:jc w:val="both"/>
      </w:pPr>
      <w:bookmarkStart w:id="3" w:name="PO0000006"/>
      <w:r>
        <w:rPr>
          <w:sz w:val="24"/>
          <w:szCs w:val="24"/>
        </w:rPr>
        <w:t xml:space="preserve">1.5. На транспортную тару наносят транспортную маркировку и манипуляционные знаки по </w:t>
      </w:r>
      <w:bookmarkEnd w:id="3"/>
      <w:r>
        <w:fldChar w:fldCharType="begin"/>
      </w:r>
      <w:r>
        <w:instrText xml:space="preserve"> HYPERLINK "normacs://normacs.ru/54B?dob=42005.000058&amp;dol=42044.473657" \o "Маркировка грузов" </w:instrText>
      </w:r>
      <w:r>
        <w:fldChar w:fldCharType="separate"/>
      </w:r>
      <w:r>
        <w:rPr>
          <w:rStyle w:val="a3"/>
        </w:rPr>
        <w:t>ГОСТ 14192</w:t>
      </w:r>
      <w:r>
        <w:fldChar w:fldCharType="end"/>
      </w:r>
      <w:r>
        <w:rPr>
          <w:sz w:val="24"/>
          <w:szCs w:val="24"/>
        </w:rPr>
        <w:t xml:space="preserve"> и маркировку, характеризующую транспортную опасность груза, по </w:t>
      </w:r>
      <w:hyperlink r:id="rId9" w:tooltip="Грузы опасные. Классификация и маркировка" w:history="1">
        <w:r>
          <w:rPr>
            <w:rStyle w:val="a3"/>
          </w:rPr>
          <w:t>ГОСТ 19433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5).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1.6. Каждая партия нефтепродуктов должна сопровождаться документом о качестве. Документ о качестве нефтепродуктов должен содержать данные, указанные в п. </w:t>
      </w:r>
      <w:hyperlink w:anchor="PO0000003" w:tooltip="Пункт 1.2" w:history="1">
        <w:r>
          <w:rPr>
            <w:rStyle w:val="a3"/>
          </w:rPr>
          <w:t>1.2</w:t>
        </w:r>
      </w:hyperlink>
      <w:r>
        <w:rPr>
          <w:sz w:val="24"/>
          <w:szCs w:val="24"/>
        </w:rPr>
        <w:t>, нормы показателей качества и результаты испытаний нефтепродукта в соответствии с нормативно-технической документацией (НТД).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pStyle w:val="1"/>
        <w:rPr>
          <w:rFonts w:eastAsia="Times New Roman"/>
        </w:rPr>
      </w:pPr>
      <w:bookmarkStart w:id="4" w:name="_Toc289363310"/>
      <w:r>
        <w:rPr>
          <w:rFonts w:eastAsia="Times New Roman"/>
        </w:rPr>
        <w:t>2. УПАКОВКА</w:t>
      </w:r>
      <w:bookmarkEnd w:id="4"/>
    </w:p>
    <w:p w:rsidR="000D4A9F" w:rsidRDefault="000D4A9F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2.1. Перед заполнением нефтепродуктом тара должна быть осмотрена. При загрязнении тару необходимо промыть горячей водой с нефтяным растворителем или пропарить до полного удаления остатков нефтепродуктов и механических примесей и просушить.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2.2. Степень заполнения тары должна быть: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 100 % объема - для вязких, высокозастывающих, мазеобразных и твердых нефтепродуктов;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 более 95 % объема - для жидких, если нет специальных требований по упаковыванию в НТД на соответствующий нефтепродукт.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2.3. Для упаковывания нефтепродуктов применяют виды тары в соответствии с приложением </w:t>
      </w:r>
      <w:hyperlink w:anchor="PO0000073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В НТД на конкретные нефтепродукты устанавливают конкретные виды транспортной тары с соответствующей ссылкой на технические документы.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5).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2.4. Мазеобразные и твердые нефтепродукты (за исключением нефтепродуктов с температурой каплепадения ниже 50 °С) допускается упаковывать в картонные навивные барабаны с применением полиэтиленовых вкладышей.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Нефтепродукты, предназначенные для районов с тропическим климатом или для районов СССР, перечень которых приведен в приложении </w:t>
      </w:r>
      <w:hyperlink w:anchor="PO0000095" w:tooltip="Приложение 3" w:history="1">
        <w:r>
          <w:rPr>
            <w:rStyle w:val="a3"/>
          </w:rPr>
          <w:t>3</w:t>
        </w:r>
      </w:hyperlink>
      <w:r>
        <w:rPr>
          <w:sz w:val="24"/>
          <w:szCs w:val="24"/>
        </w:rPr>
        <w:t>, следует упаковывать в металлическую тару, фанерные барабаны или деревянные бочки с полиэтиленовыми вкладышами.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shd w:val="clear" w:color="auto" w:fill="FFFFFF"/>
        <w:ind w:firstLine="283"/>
        <w:jc w:val="both"/>
      </w:pPr>
      <w:bookmarkStart w:id="5" w:name="PO0000013"/>
      <w:r>
        <w:rPr>
          <w:sz w:val="24"/>
          <w:szCs w:val="24"/>
        </w:rPr>
        <w:t xml:space="preserve">2.5. Битумы с температурой размягчения (по методу КиШ) не менее 70 °С допускалось до 01.01.92 упаковывать в четырех-, пятислойные бумажные мешки, изготовленные из мешочной бумаги по </w:t>
      </w:r>
      <w:bookmarkEnd w:id="5"/>
      <w:r>
        <w:fldChar w:fldCharType="begin"/>
      </w:r>
      <w:r>
        <w:instrText xml:space="preserve"> HYPERLINK "normacs://normacs.ru/645?dob=42005.000058&amp;dol=42044.473657" \o "Бумага мешочная. Технические условия" </w:instrText>
      </w:r>
      <w:r>
        <w:fldChar w:fldCharType="separate"/>
      </w:r>
      <w:r>
        <w:rPr>
          <w:rStyle w:val="a3"/>
        </w:rPr>
        <w:t>ГОСТ 2228</w:t>
      </w:r>
      <w:r>
        <w:fldChar w:fldCharType="end"/>
      </w:r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Битумы с температурой размягчения (по методу КиШ) не менее 45 °С допускалось (до 01.01.92) упаковывать в бумажные мешки в период с 1 октября по 1 апреля, за исключением битумов, предназначенных для районов СССР, указанных в приложении </w:t>
      </w:r>
      <w:hyperlink w:anchor="PO0000095" w:tooltip="Приложение 3" w:history="1">
        <w:r>
          <w:rPr>
            <w:rStyle w:val="a3"/>
          </w:rPr>
          <w:t>3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Масса одного мешка с упакованным битумом не должна превышать 250 кг.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Бумажный мешок с битумом должен быть обработан огнезащитным составом.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упаковывать дробленый хрупкий битум в мягкие контейнеры.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1, 5).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2.6. Температура налива битумов в различные виды тары устанавливается в НТД на битум конкретной марки.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2.7. Нефтепродукты, предназначенные для бытового потребления, упаковывают в потребительскую металлическую и полимерную тару вместимостью не более 5 дм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стеклянную - не более 1 дм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упаковывать строительный битум в тару вместимостью не более 15 дм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bookmarkStart w:id="6" w:name="PO0000016"/>
      <w:r>
        <w:rPr>
          <w:sz w:val="24"/>
          <w:szCs w:val="24"/>
        </w:rPr>
        <w:t xml:space="preserve">2.8. Нефтепродукты, предназначенные для районов Крайнего Севера и приравненных к ним местностей, должны упаковываться с учетом требований </w:t>
      </w:r>
      <w:bookmarkEnd w:id="6"/>
      <w:r>
        <w:fldChar w:fldCharType="begin"/>
      </w:r>
      <w:r>
        <w:instrText xml:space="preserve"> HYPERLINK "normacs://normacs.ru/15K4?dob=42005.000058&amp;dol=42044.473657" \o "Продукция, отправляемая в районы Крайнего Севера и приравненные к ним местности. Упаковка, маркировка, транспортирование и хранение" </w:instrText>
      </w:r>
      <w:r>
        <w:fldChar w:fldCharType="separate"/>
      </w:r>
      <w:r>
        <w:rPr>
          <w:rStyle w:val="a3"/>
        </w:rPr>
        <w:t>ГОСТ 15846</w:t>
      </w:r>
      <w:r>
        <w:fldChar w:fldCharType="end"/>
      </w:r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Нефтепродукты, предназначенные для экспорта, должны упаковываться с учетом требований </w:t>
      </w:r>
      <w:hyperlink r:id="rId10" w:tooltip="Грузы опасные. Упаковка" w:history="1">
        <w:r>
          <w:rPr>
            <w:rStyle w:val="a3"/>
          </w:rPr>
          <w:t>ГОСТ 26319</w:t>
        </w:r>
      </w:hyperlink>
      <w:r>
        <w:rPr>
          <w:sz w:val="24"/>
          <w:szCs w:val="24"/>
        </w:rPr>
        <w:t xml:space="preserve"> и в соответствии с заказом-нарядом ВО «Союзнефтеэкспорт».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2.7; 2.8. </w:t>
      </w: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2.9. Вновь изготовляемая металлическая тара должна быть с внутренним маслобензостойким и паростойким защитным покрытием, удовлетворяющим требованиям электростатической искробезопасности.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по согласованию изготовителя с потребителем упаковывать нефтепродукты в разовую тару, не имеющую внутреннего защитного покрытия.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2.10. После заполнения нефтепродуктом тару герметично закрывают укупорочными средствами в зависимости от вида и конструкции тары в соответствии с требованиями НТД на нефтепродукт.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2.11. Металлические бидоны и банки (кроме имеющих литографированное покрытие) по требованию потребителей смазывают по всей поверхности консервационными смазками или маслами.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2.12. После заполнения тару (за исключением тары, покрытой консервационными смазками) протирают.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2.13. Транспортная тара с жидкими нефтепродуктами должна быть опломбирована.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2.14. Потребительскую тару с нефтепродуктами помещают в транспортную тару;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бидоны - в деревянные обрешетки;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стеклянные банки и бутылки - в дощатые неразборные ящики с гнездами-перегородками, с высотой перегородок не менее 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высоты укладываемых банок или бутылок;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полиэтиленовые, металлические банки и тубы - в дощатые, фанерные, полимерные и картонные ящики. При ярусной упаковке между ними делаются горизонтальные прокладки.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Полиэтиленовые и металлические тубы упаковывают в ящики с гнездами-перегородками.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Стеклянные банки и бутылки объемом не более 0,5 дм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допускается упаковывать в картонные ящики с гнездами-перегородками.</w:t>
      </w:r>
    </w:p>
    <w:p w:rsidR="000D4A9F" w:rsidRDefault="000D4A9F">
      <w:pPr>
        <w:pStyle w:val="1"/>
        <w:rPr>
          <w:rFonts w:eastAsia="Times New Roman"/>
        </w:rPr>
      </w:pPr>
      <w:bookmarkStart w:id="7" w:name="_Toc289363311"/>
      <w:r>
        <w:rPr>
          <w:rFonts w:eastAsia="Times New Roman"/>
        </w:rPr>
        <w:t>3. ТРАНСПОРТИРОВАНИЕ</w:t>
      </w:r>
      <w:bookmarkEnd w:id="7"/>
    </w:p>
    <w:p w:rsidR="000D4A9F" w:rsidRDefault="000D4A9F">
      <w:pPr>
        <w:shd w:val="clear" w:color="auto" w:fill="FFFFFF"/>
        <w:ind w:firstLine="283"/>
        <w:jc w:val="both"/>
        <w:rPr>
          <w:rFonts w:eastAsiaTheme="minorEastAsia"/>
        </w:rPr>
      </w:pPr>
      <w:bookmarkStart w:id="8" w:name="PO0000024"/>
      <w:r>
        <w:rPr>
          <w:sz w:val="24"/>
          <w:szCs w:val="24"/>
        </w:rPr>
        <w:t>3.1. Нефть и нефтепродукты транспортируют по магистральным нефтепроводам и нефтепродуктопроводам, железнодорожным, автомобильным, воздушным, морским и речным транспортом.</w:t>
      </w:r>
      <w:bookmarkEnd w:id="8"/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Виды транспортных средств для транспортирования нефти и нефтепродуктов наливом приведены в приложении </w:t>
      </w:r>
      <w:hyperlink w:anchor="PO0000073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3.2. Нефть и нефтепродукты транспортируют в наливных судах, железнодорожных и автомобильных цистернах с внутренним маслобензостойким и паростойким защитным покрытием, удовлетворяющим требованиям электростатической искробезопасности.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транспортировать нефть и нефтепродукты в транспортных средствах, не имеющих внутренних защитных покрытий и введенных в эксплуатацию до 01.01.93.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5).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3.3. Нефть и нефтепродукты транспортируют в железнодорожных и автомобильных цистернах, оборудованных приборами нижнего налива и слива.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3, 5).</w:t>
      </w:r>
    </w:p>
    <w:p w:rsidR="000D4A9F" w:rsidRDefault="000D4A9F">
      <w:pPr>
        <w:shd w:val="clear" w:color="auto" w:fill="FFFFFF"/>
        <w:ind w:firstLine="283"/>
        <w:jc w:val="both"/>
      </w:pPr>
      <w:bookmarkStart w:id="9" w:name="PO0000027"/>
      <w:r>
        <w:rPr>
          <w:sz w:val="24"/>
          <w:szCs w:val="24"/>
        </w:rPr>
        <w:t>3.4. Из железнодорожных и автомобильных цистерн нефть и нефтепродукты должны быть слиты полностью с удалением вязких нефтепродуктов с внутренней поверхности котла цистерн. При этом в железнодорожных цистернах, не имеющих нижнего сливного устройства, допускается остаток не более 1 см (по измерению под колпаком).</w:t>
      </w:r>
      <w:bookmarkEnd w:id="9"/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В вагонах для нефтебитума (бункерных полувагонах) допускается остаток не более 3 см (по измерению в средней части ковша).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3.5. Подготовку транспортных средств и резервуаров для налива нефтепродуктов производят в соответствии с приложением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Транспортные средства и резервуары для налива масел готовят в зависимости от группы масел: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1 - турбинные, трансформаторные, для поршневых авиационных двигателей, МТ, веретенные, электроизоляционные, для вентиляционных фильтров, конденсаторные, холодильных машин и их полуфабрикаты, индустриальные, вазелиновое медицинское для технический целей, приборное МВП, парфюмерное;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2 - моторные автомобильные для карбюраторных двигателей, моторные для автотракторных дизелей, моторные для дизельных двигателей, компрессорные, сепараторные, для направляющих скольжения металлорежущих станков, для гидросистем высоконагруженных механизмов, для опрокидывания вагонов самосвалов, поглотительное, масла-мягчители (пластификаторы), для производства химических волокон, трансмиссионные специальные;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3 - трансмиссионные, цилиндровые тяжелые, сланцевое для пропитки древесины, для прокатных станов, для механических и гидромеханических коробок передач, для гидрообъемных передач и гидроусилителей рулей, для гипоидных и спирально-конических, червячных, цилиндрических передач; жидкости смазочно-охлаждающие.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3.6. Железнодорожные цистерны, подаваемые для подготовки под налив, должны сопровождаться документом, содержащим наименование слитого нефтепродукта. При отсутствии указанного документа наименование слитого нефтепродукта устанавливают анализом остатка из цистерны.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Не допускается использовать цистерны для налива нефтепродуктов, применяемых в авиационной технике, если цистерны не имеют сопроводительных документов. Использование таких цистерн для налива бензинов, растворителей, нефтяной ароматики керосинов, масел 1-й группы допускается при условии подготовки их в соответствии с обозначением 1 табл. </w:t>
      </w:r>
      <w:hyperlink w:anchor="TO0000004" w:tooltip="Таблица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 xml:space="preserve"> (см. приложение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3.7. Подаваемые под налив железнодорожные цистерны должны сопровождаться документом, содержащим наименование нефтепродукта, слитого из цистерн перед их подготовкой, наименование нефтепродукта, под налив которого цистерны подготовлены, и обозначение подготовки по табл. </w:t>
      </w:r>
      <w:hyperlink w:anchor="TO0000004" w:tooltip="Таблица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 xml:space="preserve"> (см. приложение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 допускается использовать железнодорожные цистерны, имеющие трафарет «Бензин», для транспортирования нефти, масел, мазута, моторного топлива, битума и аналогичных им по физико-химическим свойствам нефтепродуктов.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3.8. Железнодорожные цистерны, используемые для перевозки нефтепродуктов в кольцевых маршрутах, должны проходить профилактическую обработку через промежутки времени, установленные по согласованию изготовителя с потребителем, но не более пятикратного использования цистерн для нефтепродуктов, указанных в пп. 1 - 10, 16, 17, 19, 20, 21, 28, и одного раза в месяц - для нефтепродуктов, указанных в пп. 11 - 15, 18, 22 - 21, 29 - 34. При этом обработка цистерн в первом случае производится в соответствии с обозначением 2, во втором - в соответствии с обозначением 3 табл. </w:t>
      </w:r>
      <w:hyperlink w:anchor="TO0000004" w:tooltip="Таблица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 xml:space="preserve"> (см. приложение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). На цистерны кольцевых маршрутов наряду с грузовыми документами должен оформляться паспорт (формуляр) маршрута, в котором отмечается дата проведения сливно-наливных операций.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3.9. Топлива для реактивных двигателей, авиационные бензины и авиационные масла следует наливать в железнодорожные цистерны через сливно-наливные эстакады, оборудованные навесами или крышами, за исключением эстакад предприятий длительного хранения и наливных пунктов магистральных нефтепродуктопроводов, а также эстакад, оборудованных устройствами, обеспечивающими герметизацию операций по наливу.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3.10. Температура наливаемой нефти не должна превышать 30 °С, температуру высоковязких разогретых нефтепродуктов при наливе устанавливают в соответствии с правилами перевозок грузов и требованиями безопасности.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Заполнение нефтепродуктами железнодорожных цистерн следует производить с учетом увеличения объема нефтепродуктов из-за повышения температуры в пути следования и в пункте назначения, а также полного использования вместимости и ограничения грузоподъемности цистерн.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Заполнение нефтепродуктами автомобильных и железнодорожных цистерн, предназначенных для транспортирования морем, должно производиться также с учетом требований, действующих на морском транспорте.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 допускается налив нефтепродуктов свободнопадающей струей.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3.11. Сливные, наливные и перекачивающие устройства перед перекачкой нефтяных парафинов должны быть пропарены и просушены.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3.12. Крытые вагоны для парафина и восковых составов должны быть промыты и просушены. Для других нефтепродуктов крытые вагоны, полувагоны, платформы, контейнеры должны быть полностью освобождены от ранее перевозимых грузов.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3.13. Железнодорожные цистерны, вагоны и автоцистерны с нефтепродуктами пломбируют в соответствии с правилами перевозки грузов, действующими на железнодорожном и автомобильном видах транспорта.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3, 4).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3.14. Высоковязкие и высокозастывающие нефти и нефтепродукты (мазуты, битумы, гудрон, масла, парафины и аналогичные им по физико-химическим свойствам нефтепродукты) следует транспортировать в судах, оборудованных средствами обогрева.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3.15. Допускается в период с 1 сентября по 1 мая наливать топочные мазуты в несамоходные баржи на остаток нефтяного топлива (мазута) не более 5 % грузоподъемности баржи.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3.16. Танки наливных судов после слива вязких нефтепродуктов допускается мыть наливаемым грузом.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3.17. Допускается для транспортирования нефтепродуктов (за исключением нефтепродуктов, указанных в пп. 1, 4, 7, 8, 9) использовать суда после слива растительных и животных жиров и патоки при условии подготовки танков в соответствии с обозначением 2 табл. </w:t>
      </w:r>
      <w:hyperlink w:anchor="TO0000005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 xml:space="preserve"> (см. приложение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налив прямогонного бензина производить в суда, ранее использовавшиеся для транспортирования этилированных бензинов, при условии осуществления судном не менее трех промежуточных рейсов с неэтилированными нефтепродуктами.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3.18. Грузовые танки, оборудованные протекторной защитой, после балластного перехода должны обрабатываться в соответствии с обозначением 2 для нефтепродуктов, указанных в пп. 1 - 9, 17, и в соответствии с обозначением 3 - для нефтепродуктов, указанных в пп. 12 - 16, 18, 24, 25 (см. приложение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 xml:space="preserve">, табл. </w:t>
      </w:r>
      <w:hyperlink w:anchor="TO0000005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3.19. При подготовке судов в соответствии с обозначением 1 - 4 табл. </w:t>
      </w:r>
      <w:hyperlink w:anchor="TO0000005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 xml:space="preserve"> грузовая система должна быть освобождена от остатков нефтепродуктов (см. приложение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).</w:t>
      </w:r>
    </w:p>
    <w:p w:rsidR="000D4A9F" w:rsidRDefault="000D4A9F">
      <w:pPr>
        <w:shd w:val="clear" w:color="auto" w:fill="FFFFFF"/>
        <w:ind w:firstLine="283"/>
        <w:jc w:val="both"/>
      </w:pPr>
      <w:bookmarkStart w:id="10" w:name="PO0000046"/>
      <w:r>
        <w:rPr>
          <w:sz w:val="24"/>
          <w:szCs w:val="24"/>
        </w:rPr>
        <w:t>3.20. Нефтепродукты, упакованные в транспортную тару, следует транспортировать в контейнерах или транспортными пакетами в крытых транспортных средствах в соответствии с правилами перевозок грузов, действующими на воздушном, железнодорожном, речном, морском, автомобильном транспорте.</w:t>
      </w:r>
      <w:bookmarkEnd w:id="10"/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Пакетирование - по </w:t>
      </w:r>
      <w:hyperlink r:id="rId11" w:tooltip="Пакеты транспортные. Формирование с применением средств пакетирования. Общие технические требования" w:history="1">
        <w:r>
          <w:rPr>
            <w:rStyle w:val="a3"/>
          </w:rPr>
          <w:t>ГОСТ 26663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транспортировании мелкими отправками нефтепродукты упаковывают в плотные дощатые ящики или металлическую тару.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3.21. Битумы, упакованные в бумажные мешки, транспортируют в вертикальном положении открытой частью мешка вверх.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По согласованию изготовителя с потребителем допускается расположение мешков в автотранспорте комбинированным способом: нижний ряд - горизонтально, верхний - вертикально.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транспортировании железнодорожным транспортом должны соблюдаться меры, обеспечивающие неслипаемость мешков.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3.22. Транспортирование кокса производится железнодорожным (в крытых вагонах-хопперах, полувагонах), водным и автомобильным транспортом навалом.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3.23. Транспортирование нефтей различной степени подготовки, нефтепродуктов нескольких марок или подгрупп (за исключением топлив марок РТ, Т-6 и других термостабильных топлив для реактивных двигателей, авиационных бензинов и авиационных масел) по магистральным нефтепроводам и нефтепродуктопроводам соответственно допускается производить последовательной перекачкой в соответствии с нормами по последовательной перекачке при условии сохранения качества нефтей и нефтепродуктов в пределах, установленных стандартами.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Последовательную перекачку топлив для реактивных двигателей (за исключением топлив РТ, Т-6 и других термостабильных топлив для реактивных двигателей) по одному магистральному нефтепродуктопроводу следует производить в контакте с дизельным топливом.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Топлива РТ, Т-6 и другие термостабильные топлива для реактивных двигателей, авиационные бензины и авиационные масла следует перекачивать по отдельным магистральным нефтепродуктопроводам, предназначенным только для нефтепродуктов одной подгруппы.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3.24. Перекачку различных нефтепродуктов по нефтепродуктопроводам складов нефтепродуктов следует производить в соответствии с нормами технологического проектирования складов нефтепродуктов.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Нефтепродукты, применяемые в авиационной технике, а также прямогонный бензин и другие неэтилированные бензины следует перекачивать по отдельным нефтепродуктопроводам, предназначенным только для нефтепродуктов одной подгруппы.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3.25. Температура нефтей (кроме нефтей, транспортируемых с подогревом) и бензинов, предназначенных для перекачки по стационарным магистральным нефтепродуктопроводам, не должна быть выше 30 °С, керосинов и дизельных топлив - не выше 40 °С. По согласованию с потребителем допускается перекачивание дизельных топлив с температурой не выше 60 °С по стационарным магистральным нефтепродуктопроводам с конструкцией изоляционного покрытия, позволяющей перекачивание при данной температуре.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2).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3.26. Магистральные нефтепроводы и нефтепродуктопроводы должны периодически очищаться в соответствии с правилами технической эксплуатации магистральных нефтепроводов и нефте-продуктопроводов.</w:t>
      </w:r>
    </w:p>
    <w:p w:rsidR="000D4A9F" w:rsidRDefault="000D4A9F">
      <w:pPr>
        <w:pStyle w:val="1"/>
        <w:rPr>
          <w:rFonts w:eastAsia="Times New Roman"/>
        </w:rPr>
      </w:pPr>
      <w:bookmarkStart w:id="11" w:name="_Toc289363312"/>
      <w:r>
        <w:rPr>
          <w:rFonts w:eastAsia="Times New Roman"/>
        </w:rPr>
        <w:t>4. ХРАНЕНИЕ</w:t>
      </w:r>
      <w:bookmarkEnd w:id="11"/>
    </w:p>
    <w:p w:rsidR="000D4A9F" w:rsidRDefault="000D4A9F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4.1. Для хранения нефти и нефтепродуктов применяют виды хранилищ в соответствии с приложением </w:t>
      </w:r>
      <w:hyperlink w:anchor="PO0000073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4.2. Топлива, указанные в пп. </w:t>
      </w:r>
      <w:hyperlink w:anchor="PO0000024" w:tooltip="Пункт 3.1" w:history="1">
        <w:r>
          <w:rPr>
            <w:rStyle w:val="a3"/>
          </w:rPr>
          <w:t>3.1</w:t>
        </w:r>
      </w:hyperlink>
      <w:r>
        <w:rPr>
          <w:sz w:val="24"/>
          <w:szCs w:val="24"/>
        </w:rPr>
        <w:t xml:space="preserve"> - </w:t>
      </w:r>
      <w:hyperlink w:anchor="PO0000027" w:tooltip="Пункт 3.4" w:history="1">
        <w:r>
          <w:rPr>
            <w:rStyle w:val="a3"/>
          </w:rPr>
          <w:t>3.4</w:t>
        </w:r>
      </w:hyperlink>
      <w:r>
        <w:rPr>
          <w:sz w:val="24"/>
          <w:szCs w:val="24"/>
        </w:rPr>
        <w:t xml:space="preserve"> приложения </w:t>
      </w:r>
      <w:hyperlink w:anchor="PO0000073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, хранят в металлических резервуарах с внутренними антикоррозионными покрытиями, применение которых в контакте с этими нефтепродуктами должно быть разрешено Государственной междуведомственной комиссией по испытанию топлив, масел, смазок и специальных жидкостей при Госстандарте СССР.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Антикоррозионные покрытия должны быть устойчивы к воздействию нефтепродуктов (нефти), подтоварной воды, пара (или горячей воды).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Допускалось до 01.01.93 хранить указанные топлива в резервуарах без внутренних покрытий.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Необходимость защиты от коррозии внутренней поверхности резервуаров для хранения других нефтепродуктов и нефти, а также способы защиты устанавливаются отраслевой документацией.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5).</w:t>
      </w:r>
    </w:p>
    <w:p w:rsidR="000D4A9F" w:rsidRDefault="000D4A9F">
      <w:pPr>
        <w:shd w:val="clear" w:color="auto" w:fill="FFFFFF"/>
        <w:ind w:firstLine="283"/>
        <w:jc w:val="both"/>
      </w:pPr>
      <w:bookmarkStart w:id="12" w:name="PO0000056"/>
      <w:r>
        <w:rPr>
          <w:sz w:val="24"/>
          <w:szCs w:val="24"/>
        </w:rPr>
        <w:t>4.3. Бензины и нефти следует хранить в резервуарах с плавающей крышей или понтоном или оборудованных газовой обвязкой в зависимости от условий эксплуатации резервуаров.</w:t>
      </w:r>
      <w:bookmarkEnd w:id="12"/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хранить бензины и нефти в резервуарах без понтонов и газовой обвязки до капитального ремонта, а также на предприятиях длительного хранения.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 допускается хранить авиационные бензины в резервуарах с плавающей крышей.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4.4. Резервуары должны быть подготовлены к наливу нефти и нефтепродуктов в соответствии с приложением </w:t>
      </w:r>
      <w:hyperlink w:anchor="PO000008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 xml:space="preserve"> табл. </w:t>
      </w:r>
      <w:hyperlink w:anchor="TO0000005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4.5. Нефть и нефтепродукты каждой марки следует хранить в отдельных резервуарах, исключающих попадание в них атмосферных осадков и пыли.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4.6. Металлические резервуары, за исключением резервуаров предприятий длительного хранения, должны подвергаться периодической зачистке: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 менее двух раз в год - для топлива для реактивных двигателей, авиационных бензинов, авиационных масел и их компонентов, прямогонных бензинов; допускается при наличии на линии закачки средств очистки с тонкостью фильтрования не более 40 мкм зачищать резервуары не менее одного раза в год;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 менее одного раза в год - для присадок к смазочным маслам и масел с присадками;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 менее одного раза в два года - для остальных масел, автомобильных бензинов, дизельных топлив, парафинов и аналогичных по физико-химическим свойствам нефтепродуктов.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Металлические и железобетонные резервуары для нефти, мазутов, моторных топлив и аналогичных по физико-химическим свойствам нефтепродуктов следует зачищать по мере необходимости, определяемой условиями сохранения их качества, надежной эксплуатации резервуаров и оборудования. Отстой воды и загрязнений из резервуаров следует удалять не реже одного раза в год.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4.7. При хранении нефтепродуктов в резервуарах не допускается наличие подтоварной воды выше минимального уровня, обеспечиваемого конструкцией устройства для дренажа воды.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4.6; 4.7. </w:t>
      </w:r>
      <w:r>
        <w:rPr>
          <w:b/>
          <w:bCs/>
          <w:sz w:val="24"/>
          <w:szCs w:val="24"/>
        </w:rPr>
        <w:t>(Измененная редакция, Изм. № 5).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4.8. Застывающие нефтепродукты следует хранить в резервуарах, оборудованных стационарными или переносными средствами обогрева, обеспечивающими сохранение качества в пределах требований НТД на нефтепродукт.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4.9. Нефтепродукты в таре следует хранить на стеллажах, поддонах или в штабелях в крытых складских помещениях, под навесом или на спланированной площадке, защищенной от действия прямых солнечных лучей и атмосферных осадков. Тару с нефтепродуктами устанавливают пробками вверх.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Пластичные смазки в картонных навивных барабанах следует хранить в поддонах крышками вверх не более чем в три яруса в крытых складских помещениях.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хранить строительный битум на открытых асфальтированных или бетонированных площадках.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Нефтяной кокс хранят в закрытых помещениях, бункерах.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Допускается хранить непрокаленный кокс на асфальтированных или бетонированных площадках, в бетонированных ямах.</w:t>
      </w:r>
    </w:p>
    <w:p w:rsidR="000D4A9F" w:rsidRDefault="000D4A9F">
      <w:pPr>
        <w:shd w:val="clear" w:color="auto" w:fill="FFFFFF"/>
        <w:ind w:firstLine="283"/>
        <w:jc w:val="both"/>
      </w:pPr>
      <w:bookmarkStart w:id="13" w:name="PO0000064"/>
      <w:r>
        <w:rPr>
          <w:sz w:val="24"/>
          <w:szCs w:val="24"/>
        </w:rPr>
        <w:t xml:space="preserve">4.10. Хранение пакетированных нефтепродуктов - по </w:t>
      </w:r>
      <w:bookmarkEnd w:id="13"/>
      <w:r>
        <w:fldChar w:fldCharType="begin"/>
      </w:r>
      <w:r>
        <w:instrText xml:space="preserve"> HYPERLINK "normacs://normacs.ru/64I?dob=42005.000058&amp;dol=42044.473657" \o "Пакеты транспортные. Формирование с применением средств пакетирования. Общие технические требования" </w:instrText>
      </w:r>
      <w:r>
        <w:fldChar w:fldCharType="separate"/>
      </w:r>
      <w:r>
        <w:rPr>
          <w:rStyle w:val="a3"/>
        </w:rPr>
        <w:t>ГОСТ 26663</w:t>
      </w:r>
      <w:r>
        <w:fldChar w:fldCharType="end"/>
      </w:r>
      <w:r>
        <w:rPr>
          <w:sz w:val="24"/>
          <w:szCs w:val="24"/>
        </w:rPr>
        <w:t>.</w:t>
      </w:r>
    </w:p>
    <w:p w:rsidR="000D4A9F" w:rsidRDefault="000D4A9F">
      <w:pPr>
        <w:pStyle w:val="1"/>
        <w:rPr>
          <w:rFonts w:eastAsia="Times New Roman"/>
        </w:rPr>
      </w:pPr>
      <w:bookmarkStart w:id="14" w:name="_Toc289363313"/>
      <w:r>
        <w:rPr>
          <w:rFonts w:eastAsia="Times New Roman"/>
        </w:rPr>
        <w:t>5. ТРЕБОВАНИЯ БЕЗОПАСНОСТИ</w:t>
      </w:r>
      <w:bookmarkEnd w:id="14"/>
    </w:p>
    <w:p w:rsidR="000D4A9F" w:rsidRDefault="000D4A9F">
      <w:pPr>
        <w:shd w:val="clear" w:color="auto" w:fill="FFFFFF"/>
        <w:ind w:firstLine="283"/>
        <w:jc w:val="both"/>
        <w:rPr>
          <w:rFonts w:eastAsiaTheme="minorEastAsia"/>
        </w:rPr>
      </w:pPr>
      <w:bookmarkStart w:id="15" w:name="PO0000066"/>
      <w:r>
        <w:rPr>
          <w:sz w:val="24"/>
          <w:szCs w:val="24"/>
        </w:rPr>
        <w:t>5.1. При выполнении работ по упаковыванию, погрузке (наливу), выгрузке (сливу), зачистке транспортных средств и хранилищ следует соблюдать инструкции и правила техники безопасности, производственной санитарии и пожарной безопасности, разработанные для каждого предприятия с учетом специфики производства.</w:t>
      </w:r>
      <w:bookmarkEnd w:id="15"/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Работающие с нефтью и нефтепродуктами должны быть обучены безопасности труда в соответствии с </w:t>
      </w:r>
      <w:hyperlink r:id="rId12" w:tooltip="Система стандартов безопасности труда. Организация обучения безопасности труда. Общие положения" w:history="1">
        <w:r>
          <w:rPr>
            <w:rStyle w:val="a3"/>
          </w:rPr>
          <w:t>ГОСТ 12.0.004</w:t>
        </w:r>
      </w:hyperlink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5.2. При работе с нефтью и нефтепродуктами, являющимися легковоспламеняющимися и ядовитыми веществами, необходимо применять индивидуальные средства защиты по типовым отраслевым нормам, утвержденным Государственным комитетом СССР по труду и социальным вопросам и ВЦСПС.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5.3. Не допускается сокращать наименование этилированных бензинов в сопровождающих их документах. На всех документах должны быть ясный штамп и надпись: «Этилированный бензин. Яд. Пригоден только в качестве моторного горючего».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5.4. Для предотвращения загрязнения окружающей среды углеводородами, уменьшения пожарной опасности и улучшения условий труда, кроме средств сокращения потерь нефти и нефтепродуктов, указанных в п. </w:t>
      </w:r>
      <w:hyperlink w:anchor="PO0000056" w:tooltip="Пункт 4.3" w:history="1">
        <w:r>
          <w:rPr>
            <w:rStyle w:val="a3"/>
          </w:rPr>
          <w:t>4.3</w:t>
        </w:r>
      </w:hyperlink>
      <w:r>
        <w:rPr>
          <w:sz w:val="24"/>
          <w:szCs w:val="24"/>
        </w:rPr>
        <w:t>, рекомендуются диски-отражатели, системы размыва и предотвращения накопления осадков в резервуарах, механизированные средства зачистки емкостей, установки для подогрева и слива вязких нефтепродуктов из железнодорожных цистерн, установки герметичного налива и слива, стационарные шлангующие устройства, системы автоматизации процессов сливно-наливных операций.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5.5. Битумы следует наливать в железнодорожные и автомобильные цистерны, освобожденные от воды.</w:t>
      </w:r>
    </w:p>
    <w:p w:rsidR="000D4A9F" w:rsidRDefault="000D4A9F">
      <w:pPr>
        <w:shd w:val="clear" w:color="auto" w:fill="FFFFFF"/>
        <w:ind w:firstLine="283"/>
        <w:jc w:val="both"/>
      </w:pPr>
      <w:bookmarkStart w:id="16" w:name="PO0000071"/>
      <w:r>
        <w:rPr>
          <w:sz w:val="24"/>
          <w:szCs w:val="24"/>
        </w:rPr>
        <w:t xml:space="preserve">5.6. Режим слива и налива нефти и нефтепродуктов, конструкция и условия эксплуатации средств хранения и транспортирования должны удовлетворять требованиям электростатической искробезопасности по </w:t>
      </w:r>
      <w:bookmarkEnd w:id="16"/>
      <w:r>
        <w:fldChar w:fldCharType="begin"/>
      </w:r>
      <w:r>
        <w:instrText xml:space="preserve"> HYPERLINK "normacs://normacs.ru/3EN?dob=42005.000058&amp;dol=42044.473657" \o "ССБТ. Пожаровзрывобезопасность статического электричества. Общие требования" </w:instrText>
      </w:r>
      <w:r>
        <w:fldChar w:fldCharType="separate"/>
      </w:r>
      <w:r>
        <w:rPr>
          <w:rStyle w:val="a3"/>
        </w:rPr>
        <w:t>ГОСТ 12.1.018</w:t>
      </w:r>
      <w:r>
        <w:fldChar w:fldCharType="end"/>
      </w:r>
      <w:r>
        <w:rPr>
          <w:sz w:val="24"/>
          <w:szCs w:val="24"/>
        </w:rPr>
        <w:t>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Металлические части эстакад, трубопроводы, подвижные средства перекачки, резервуары, автоцистерны, телескопические трубы, рукава и наконечники во время слива и налива нефти и нефтепродуктов должны быть заземлены.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5).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5.7. В цистернах после слива сжиженных газов избыточное давление должно быть не менее 50540 Па (380 мм рт. ст.).</w:t>
      </w:r>
    </w:p>
    <w:p w:rsidR="000D4A9F" w:rsidRDefault="000D4A9F">
      <w:pPr>
        <w:pStyle w:val="1"/>
        <w:spacing w:after="0"/>
        <w:jc w:val="right"/>
        <w:rPr>
          <w:rFonts w:eastAsia="Times New Roman"/>
        </w:rPr>
      </w:pPr>
      <w:r>
        <w:rPr>
          <w:rFonts w:eastAsia="Times New Roman"/>
          <w:b w:val="0"/>
          <w:bCs w:val="0"/>
          <w:i/>
          <w:iCs/>
        </w:rPr>
        <w:br w:type="page"/>
      </w:r>
      <w:bookmarkStart w:id="17" w:name="PO0000073"/>
      <w:bookmarkStart w:id="18" w:name="_Toc289363314"/>
      <w:bookmarkEnd w:id="17"/>
      <w:r>
        <w:rPr>
          <w:rFonts w:eastAsia="Times New Roman"/>
          <w:i/>
          <w:iCs/>
        </w:rPr>
        <w:t>ПРИЛОЖЕНИЕ 1</w:t>
      </w:r>
      <w:bookmarkEnd w:id="18"/>
    </w:p>
    <w:p w:rsidR="000D4A9F" w:rsidRDefault="000D4A9F">
      <w:pPr>
        <w:shd w:val="clear" w:color="auto" w:fill="FFFFFF"/>
        <w:spacing w:after="120"/>
        <w:ind w:right="556"/>
        <w:jc w:val="right"/>
        <w:rPr>
          <w:rFonts w:eastAsiaTheme="minorEastAsia"/>
        </w:rPr>
      </w:pPr>
      <w:r>
        <w:rPr>
          <w:i/>
          <w:iCs/>
          <w:sz w:val="24"/>
          <w:szCs w:val="24"/>
        </w:rPr>
        <w:t>Обязательное</w:t>
      </w:r>
    </w:p>
    <w:p w:rsidR="000D4A9F" w:rsidRDefault="000D4A9F">
      <w:pPr>
        <w:spacing w:before="120" w:after="120"/>
        <w:jc w:val="center"/>
      </w:pPr>
      <w:bookmarkStart w:id="19" w:name="_Toc289363315"/>
      <w:r>
        <w:rPr>
          <w:b/>
          <w:bCs/>
          <w:sz w:val="24"/>
          <w:szCs w:val="24"/>
        </w:rPr>
        <w:t>ВИДЫ ХРАНИЛИЩ, ТАРЫ И ТРАНСПОРТНЫХ СРЕДСТВ ДЛЯ ХРАНЕНИЯ И ТРАНСПОРТИРОВАНИЯ НЕФТИ И НЕФТЕПРОДУКТОВ</w:t>
      </w:r>
      <w:bookmarkEnd w:id="19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6"/>
        <w:gridCol w:w="282"/>
        <w:gridCol w:w="282"/>
        <w:gridCol w:w="253"/>
        <w:gridCol w:w="255"/>
        <w:gridCol w:w="184"/>
        <w:gridCol w:w="167"/>
        <w:gridCol w:w="285"/>
        <w:gridCol w:w="267"/>
        <w:gridCol w:w="262"/>
        <w:gridCol w:w="219"/>
        <w:gridCol w:w="275"/>
        <w:gridCol w:w="198"/>
        <w:gridCol w:w="214"/>
        <w:gridCol w:w="262"/>
        <w:gridCol w:w="226"/>
        <w:gridCol w:w="128"/>
        <w:gridCol w:w="235"/>
        <w:gridCol w:w="267"/>
        <w:gridCol w:w="235"/>
        <w:gridCol w:w="271"/>
        <w:gridCol w:w="210"/>
        <w:gridCol w:w="169"/>
        <w:gridCol w:w="116"/>
        <w:gridCol w:w="356"/>
        <w:gridCol w:w="275"/>
        <w:gridCol w:w="303"/>
        <w:gridCol w:w="232"/>
        <w:gridCol w:w="237"/>
        <w:gridCol w:w="270"/>
        <w:gridCol w:w="129"/>
        <w:gridCol w:w="243"/>
        <w:gridCol w:w="379"/>
        <w:gridCol w:w="351"/>
        <w:gridCol w:w="273"/>
        <w:gridCol w:w="255"/>
      </w:tblGrid>
      <w:tr w:rsidR="000D4A9F">
        <w:trPr>
          <w:tblHeader/>
          <w:jc w:val="center"/>
        </w:trPr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Наименование нефтепродуктов</w:t>
            </w:r>
          </w:p>
        </w:tc>
        <w:tc>
          <w:tcPr>
            <w:tcW w:w="1216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ХРАНИЛИЩЕ</w:t>
            </w:r>
          </w:p>
        </w:tc>
        <w:tc>
          <w:tcPr>
            <w:tcW w:w="1843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ТАРА</w:t>
            </w:r>
          </w:p>
        </w:tc>
        <w:tc>
          <w:tcPr>
            <w:tcW w:w="1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Контейнер специализированный</w:t>
            </w:r>
          </w:p>
        </w:tc>
        <w:tc>
          <w:tcPr>
            <w:tcW w:w="118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ТРАНСПОРТНОЕ СРЕДСТВО</w:t>
            </w: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подземные хранилища в отложениях каменной соли, гипса, ангидрита, доломита, мергеля, известняка, глины, магматической и вечномерзлых породах</w:t>
            </w:r>
          </w:p>
        </w:tc>
        <w:tc>
          <w:tcPr>
            <w:tcW w:w="9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резервуар стационарный и передвижной</w:t>
            </w:r>
          </w:p>
        </w:tc>
        <w:tc>
          <w:tcPr>
            <w:tcW w:w="1151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транспортная</w:t>
            </w:r>
          </w:p>
        </w:tc>
        <w:tc>
          <w:tcPr>
            <w:tcW w:w="6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потребительская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08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транспортирование наливом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Трубопровод стационарный и сборно-разборный</w:t>
            </w: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5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металлический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железобетонный</w:t>
            </w:r>
          </w:p>
        </w:tc>
        <w:tc>
          <w:tcPr>
            <w:tcW w:w="15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резинотканевый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баллон металлический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бочка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барабан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канистра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ящик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мешок бумажный, полимерный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бидон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банка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бутылка</w:t>
            </w: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туба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железнодорожная цистерна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вагон для нефтебитума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судно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автоцистерна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автотопливозаправщик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автомаслозаправщик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автобитумовоз, автогудронатор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горизонтальный низкого давления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горизонтальный и шаровой высокого давления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вертикальный с понтоном, плавающей крышей, газовой обвязкой и др.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Вертикальный без понтона, газовой обвязки и др.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 газовой обвязкой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без газовой обвязки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металлическая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деревянная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металлический, полимерный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фанерный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картонный, навивной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металлическая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полимерная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металлический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полимерный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металлическая, полимерная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стеклянная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 универсальным сливным прибором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 обогревательным устройством с изоляцией и без нее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нефтеналивное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для газов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 Нефть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 Газы углеводородные сжиженные топливные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trHeight w:val="80"/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 Топлива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3.1. Бензины авиационные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3.2. Бензины автомобильные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3.3. Топлива для реактивных двигателей, нафтил, керосины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3.4. Топлива дизельные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3.5. Печное бытовое топливо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3.6. Топливо нефтяное (мазуты, для газотурбинных установок), топливо моторное, масло сланцевое (топливное)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 Компоненты топлив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4.1. </w:t>
            </w:r>
            <w:r>
              <w:rPr>
                <w:b/>
                <w:bCs/>
              </w:rPr>
              <w:t>(Исключен, Изм. № 3)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4.2. Бензин газовый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4.3. </w:t>
            </w:r>
            <w:r>
              <w:rPr>
                <w:b/>
                <w:bCs/>
              </w:rPr>
              <w:t>(Исключен, Изм. № 5)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4.4. Изооктан технический, алкилбензин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4.5. Топлива эталонные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4а. Бензин прямогонный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 Жидкие продукты пиролиза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5.1. Ароматика нефтяная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5.2. Смола нефтяная типа 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 Нефтяные растворители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 Масла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+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 Смазки пластичные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 Жирующие препараты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 Вазелины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 Петролатум, гач и церезин неочищенные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12. Церезины, композиции церезиновая и озокеритовая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13. Парафины нефтяные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13.1. Жидкие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13.2. Твердые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 Составы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14.1. Парафиновые и восковые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14.2. Маслоканифольные, битумные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 Битумы нефтяные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15.1. Дорожные жидкие, сырье для производства битума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15.2. Дорожные вязкие, кровельные БНК-40/180, БНК-45/190, строительный БН-50/50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15.3. Хрупкие, для заливочных аккумуляторных мастик, высокоплавкий мягчитель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15.4. Строительные БН-70/30, БН-90/10, изоляционные, БНК-90/30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 Присадки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 Нафтенат меди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 Кислоты синтетические жирные (СЖК) фракций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18.1. С</w:t>
            </w:r>
            <w:r>
              <w:rPr>
                <w:vertAlign w:val="subscript"/>
              </w:rPr>
              <w:t>5</w:t>
            </w:r>
            <w:r>
              <w:t xml:space="preserve"> - С</w:t>
            </w:r>
            <w:r>
              <w:rPr>
                <w:vertAlign w:val="subscript"/>
              </w:rPr>
              <w:t>6</w:t>
            </w:r>
            <w:r>
              <w:t>, С</w:t>
            </w:r>
            <w:r>
              <w:rPr>
                <w:vertAlign w:val="subscript"/>
              </w:rPr>
              <w:t>7</w:t>
            </w:r>
            <w:r>
              <w:t xml:space="preserve"> - С</w:t>
            </w:r>
            <w:r>
              <w:rPr>
                <w:vertAlign w:val="subscript"/>
              </w:rPr>
              <w:t>9</w:t>
            </w:r>
            <w:r>
              <w:t>, C</w:t>
            </w:r>
            <w:r>
              <w:rPr>
                <w:vertAlign w:val="subscript"/>
              </w:rPr>
              <w:t>5</w:t>
            </w:r>
            <w:r>
              <w:t xml:space="preserve"> - C</w:t>
            </w:r>
            <w:r>
              <w:rPr>
                <w:vertAlign w:val="subscript"/>
              </w:rPr>
              <w:t>9</w:t>
            </w:r>
            <w:r>
              <w:t>, С</w:t>
            </w:r>
            <w:r>
              <w:rPr>
                <w:vertAlign w:val="subscript"/>
              </w:rPr>
              <w:t>9</w:t>
            </w:r>
            <w:r>
              <w:t xml:space="preserve"> - С</w:t>
            </w:r>
            <w:r>
              <w:rPr>
                <w:vertAlign w:val="subscript"/>
              </w:rPr>
              <w:t>10</w:t>
            </w:r>
            <w:r>
              <w:t>, С</w:t>
            </w:r>
            <w:r>
              <w:rPr>
                <w:vertAlign w:val="subscript"/>
              </w:rPr>
              <w:t>10</w:t>
            </w:r>
            <w:r>
              <w:t xml:space="preserve"> - С</w:t>
            </w:r>
            <w:r>
              <w:rPr>
                <w:vertAlign w:val="subscript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18.2. С</w:t>
            </w:r>
            <w:r>
              <w:rPr>
                <w:vertAlign w:val="subscript"/>
              </w:rPr>
              <w:t>10</w:t>
            </w:r>
            <w:r>
              <w:t xml:space="preserve"> - С</w:t>
            </w:r>
            <w:r>
              <w:rPr>
                <w:vertAlign w:val="subscript"/>
              </w:rPr>
              <w:t>16</w:t>
            </w:r>
            <w:r>
              <w:t>, С</w:t>
            </w:r>
            <w:r>
              <w:rPr>
                <w:vertAlign w:val="subscript"/>
              </w:rPr>
              <w:t>12</w:t>
            </w:r>
            <w:r>
              <w:t xml:space="preserve"> - С</w:t>
            </w:r>
            <w:r>
              <w:rPr>
                <w:vertAlign w:val="subscript"/>
              </w:rPr>
              <w:t>16</w:t>
            </w:r>
            <w:r>
              <w:t>, С</w:t>
            </w:r>
            <w:r>
              <w:rPr>
                <w:vertAlign w:val="subscript"/>
              </w:rPr>
              <w:t>17</w:t>
            </w:r>
            <w:r>
              <w:t xml:space="preserve"> - С</w:t>
            </w:r>
            <w:r>
              <w:rPr>
                <w:vertAlign w:val="subscript"/>
              </w:rPr>
              <w:t>20</w:t>
            </w:r>
            <w:r>
              <w:t>, С</w:t>
            </w:r>
            <w:r>
              <w:rPr>
                <w:vertAlign w:val="subscript"/>
              </w:rPr>
              <w:t>20</w:t>
            </w:r>
            <w:r>
              <w:t xml:space="preserve"> и выше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 Кислоты нефтяные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19.1. Асидол, асидол-мылонафт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19.2. Нафтеновые кислоты дистиллированные, контакт Петрова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 Спирты синтетические первичные жирные фракций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20.1. С</w:t>
            </w:r>
            <w:r>
              <w:rPr>
                <w:vertAlign w:val="subscript"/>
              </w:rPr>
              <w:t>10</w:t>
            </w:r>
            <w:r>
              <w:t xml:space="preserve"> - C</w:t>
            </w:r>
            <w:r>
              <w:rPr>
                <w:vertAlign w:val="subscript"/>
              </w:rPr>
              <w:t>16</w:t>
            </w:r>
            <w:r>
              <w:t>, С</w:t>
            </w:r>
            <w:r>
              <w:rPr>
                <w:vertAlign w:val="subscript"/>
              </w:rPr>
              <w:t>10</w:t>
            </w:r>
            <w:r>
              <w:t xml:space="preserve"> - C</w:t>
            </w:r>
            <w:r>
              <w:rPr>
                <w:vertAlign w:val="subscript"/>
              </w:rPr>
              <w:t>18</w:t>
            </w:r>
            <w:r>
              <w:t>, С</w:t>
            </w:r>
            <w:r>
              <w:rPr>
                <w:vertAlign w:val="subscript"/>
              </w:rPr>
              <w:t>12</w:t>
            </w:r>
            <w:r>
              <w:t xml:space="preserve"> - C</w:t>
            </w:r>
            <w:r>
              <w:rPr>
                <w:vertAlign w:val="subscript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20.2. С</w:t>
            </w:r>
            <w:r>
              <w:rPr>
                <w:vertAlign w:val="subscript"/>
              </w:rPr>
              <w:t>16</w:t>
            </w:r>
            <w:r>
              <w:t xml:space="preserve"> - С</w:t>
            </w:r>
            <w:r>
              <w:rPr>
                <w:vertAlign w:val="subscript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 Связующее литейное, эмульсолы, пенообразователь, деэмульгаторы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 Лакойль, пирополимеры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 Инден-кумароновая смола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 Сырье для производства сажи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 Сажа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26. Пек нефтяной пиролизный «ГП»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27. Дифенил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 Нефтепродукты отработанные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</w:tr>
      <w:tr w:rsidR="000D4A9F">
        <w:trPr>
          <w:jc w:val="center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 Конденсат газовый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+</w:t>
            </w:r>
          </w:p>
        </w:tc>
      </w:tr>
    </w:tbl>
    <w:p w:rsidR="000D4A9F" w:rsidRDefault="000D4A9F">
      <w:pPr>
        <w:shd w:val="clear" w:color="auto" w:fill="FFFFFF"/>
        <w:spacing w:before="120"/>
        <w:ind w:firstLine="284"/>
        <w:jc w:val="both"/>
        <w:rPr>
          <w:rFonts w:eastAsiaTheme="minorEastAsia"/>
          <w:sz w:val="20"/>
          <w:szCs w:val="20"/>
        </w:rPr>
      </w:pPr>
      <w:r>
        <w:rPr>
          <w:spacing w:val="20"/>
        </w:rPr>
        <w:t>Примечания:</w:t>
      </w:r>
    </w:p>
    <w:p w:rsidR="000D4A9F" w:rsidRDefault="000D4A9F">
      <w:pPr>
        <w:shd w:val="clear" w:color="auto" w:fill="FFFFFF"/>
        <w:ind w:firstLine="283"/>
        <w:jc w:val="both"/>
      </w:pPr>
      <w:r>
        <w:t>1. Рекомендуемый вид хранилища, тары и транспортного средства обозначен знаком «+».</w:t>
      </w:r>
    </w:p>
    <w:p w:rsidR="000D4A9F" w:rsidRDefault="000D4A9F">
      <w:pPr>
        <w:shd w:val="clear" w:color="auto" w:fill="FFFFFF"/>
        <w:ind w:firstLine="283"/>
        <w:jc w:val="both"/>
      </w:pPr>
      <w:r>
        <w:t>2. Высоко вязкие нефти с температурой застывания выше минус 3 °С (подпункт 1) не рекомендуется хранить в подземных емкостях, сооруженных в отложениях каменной соли.</w:t>
      </w:r>
    </w:p>
    <w:p w:rsidR="000D4A9F" w:rsidRDefault="000D4A9F">
      <w:pPr>
        <w:shd w:val="clear" w:color="auto" w:fill="FFFFFF"/>
        <w:ind w:firstLine="283"/>
        <w:jc w:val="both"/>
      </w:pPr>
      <w:r>
        <w:t>3. Масла вазелиновое медицинское, парфюмерные, телеграфные, часовые, приборные, вакуумные, гидравлические, кабельные, авиационные, для турбореактивных двигателей, для холодильных машин ХФ 22с-16, шарнирное, консервационное; жидкости гидротормозные и амортизаторные (подпункт 7) следует транспортировать и хранить в таре. Допускается по согласованию изготовителя с потребителем транспортировать масла вазелиновое медицинское, предназначенное для технических целей, приборное МВП, парфюмерное в железнодорожных цистернах.</w:t>
      </w:r>
    </w:p>
    <w:p w:rsidR="000D4A9F" w:rsidRDefault="000D4A9F">
      <w:pPr>
        <w:shd w:val="clear" w:color="auto" w:fill="FFFFFF"/>
        <w:ind w:firstLine="283"/>
        <w:jc w:val="both"/>
      </w:pPr>
      <w:r>
        <w:t>4. Углеводородные канатные смазки (подпункт 8) допускается транспортировать в железнодорожных цистернах с парообогревательным устройством.</w:t>
      </w:r>
    </w:p>
    <w:p w:rsidR="000D4A9F" w:rsidRDefault="000D4A9F">
      <w:pPr>
        <w:shd w:val="clear" w:color="auto" w:fill="FFFFFF"/>
        <w:ind w:firstLine="283"/>
        <w:jc w:val="both"/>
      </w:pPr>
      <w:r>
        <w:t>5. По согласованию изготовителя с потребителем допускается транспортировать:</w:t>
      </w:r>
    </w:p>
    <w:p w:rsidR="000D4A9F" w:rsidRDefault="000D4A9F">
      <w:pPr>
        <w:shd w:val="clear" w:color="auto" w:fill="FFFFFF"/>
        <w:ind w:firstLine="283"/>
        <w:jc w:val="both"/>
      </w:pPr>
      <w:r>
        <w:t xml:space="preserve">жир синтетический, церезин по </w:t>
      </w:r>
      <w:hyperlink r:id="rId13" w:tooltip="Церезин. Технические условия" w:history="1">
        <w:r>
          <w:rPr>
            <w:rStyle w:val="a3"/>
          </w:rPr>
          <w:t>ГОСТ 2488</w:t>
        </w:r>
      </w:hyperlink>
      <w:r>
        <w:t xml:space="preserve"> (кроме церезина для предприятий электронной промышленности), защитный воск (пп. 9, 12, 14) - в железнодорожных цистернах с обогревательным устройством;</w:t>
      </w:r>
    </w:p>
    <w:p w:rsidR="000D4A9F" w:rsidRDefault="000D4A9F">
      <w:pPr>
        <w:shd w:val="clear" w:color="auto" w:fill="FFFFFF"/>
        <w:ind w:firstLine="283"/>
        <w:jc w:val="both"/>
      </w:pPr>
      <w:r>
        <w:t>парафины твердые технического назначения (п. 13.2) - в железнодорожных цистернах с обогревательным устройством или с универсальным сливным прибором;</w:t>
      </w:r>
    </w:p>
    <w:p w:rsidR="000D4A9F" w:rsidRDefault="000D4A9F">
      <w:pPr>
        <w:shd w:val="clear" w:color="auto" w:fill="FFFFFF"/>
        <w:ind w:firstLine="283"/>
        <w:jc w:val="both"/>
      </w:pPr>
      <w:r>
        <w:t>парафины жидкие (п. 13.1) - по стационарному трубопроводу.</w:t>
      </w:r>
    </w:p>
    <w:p w:rsidR="000D4A9F" w:rsidRDefault="000D4A9F">
      <w:pPr>
        <w:shd w:val="clear" w:color="auto" w:fill="FFFFFF"/>
        <w:ind w:firstLine="283"/>
        <w:jc w:val="both"/>
      </w:pPr>
      <w:r>
        <w:t>6. Битумы дорожные жидкие, сырье для производства битума (подпункт 15.1) допускается в период с 1 апреля по 1 октября транспортировать в цистернах с универсальным сливным прибором при условии наличия у потребителя технических средств разогрева, обеспечивающих полный слив цистерн.</w:t>
      </w:r>
    </w:p>
    <w:p w:rsidR="000D4A9F" w:rsidRDefault="000D4A9F">
      <w:pPr>
        <w:shd w:val="clear" w:color="auto" w:fill="FFFFFF"/>
        <w:ind w:firstLine="283"/>
        <w:jc w:val="both"/>
      </w:pPr>
      <w:r>
        <w:t>Битумы дорожные вязкие, кровельные БНК-40/180, БНК-45/190, строительный БН-50/50 (п. 15.2) допускается по согласованию изготовителя с потребителем транспортировать в железнодорожных цистернах с обогревательным устройством.</w:t>
      </w:r>
    </w:p>
    <w:p w:rsidR="000D4A9F" w:rsidRDefault="000D4A9F">
      <w:pPr>
        <w:shd w:val="clear" w:color="auto" w:fill="FFFFFF"/>
        <w:ind w:firstLine="283"/>
        <w:jc w:val="both"/>
      </w:pPr>
      <w:r>
        <w:t>Битумы строительные БН-70/30, БН-90/10, изоляционные, кровельный БЫК-90/30 (п. 15.4) допускается по согласованию изготовителя с потребителем транспортировать в железнодорожных цистернах с изоляцией с обогревательным устройством, обеспечивающим нагрев, требуемый для слива битума.</w:t>
      </w:r>
    </w:p>
    <w:p w:rsidR="000D4A9F" w:rsidRDefault="000D4A9F">
      <w:pPr>
        <w:shd w:val="clear" w:color="auto" w:fill="FFFFFF"/>
        <w:ind w:firstLine="283"/>
        <w:jc w:val="both"/>
      </w:pPr>
      <w:r>
        <w:t>7. Дифенил (подпункт 27) допускается по согласованию изготовителя с потребителем транспортировать в цистернах с обогревательным устройством.</w:t>
      </w:r>
    </w:p>
    <w:p w:rsidR="000D4A9F" w:rsidRDefault="000D4A9F">
      <w:pPr>
        <w:shd w:val="clear" w:color="auto" w:fill="FFFFFF"/>
        <w:ind w:firstLine="283"/>
        <w:jc w:val="both"/>
      </w:pPr>
      <w:r>
        <w:t>8. Синтетические жирные кислоты, нафтеновые кислоты дистиллированные, контакт Петрова, синтетические жирные спирты фракций С</w:t>
      </w:r>
      <w:r>
        <w:rPr>
          <w:vertAlign w:val="subscript"/>
        </w:rPr>
        <w:t>10</w:t>
      </w:r>
      <w:r>
        <w:t xml:space="preserve"> - С</w:t>
      </w:r>
      <w:r>
        <w:rPr>
          <w:vertAlign w:val="subscript"/>
        </w:rPr>
        <w:t>16</w:t>
      </w:r>
      <w:r>
        <w:t>, С</w:t>
      </w:r>
      <w:r>
        <w:rPr>
          <w:vertAlign w:val="subscript"/>
        </w:rPr>
        <w:t>10</w:t>
      </w:r>
      <w:r>
        <w:t xml:space="preserve"> - C</w:t>
      </w:r>
      <w:r>
        <w:rPr>
          <w:vertAlign w:val="subscript"/>
        </w:rPr>
        <w:t>18</w:t>
      </w:r>
      <w:r>
        <w:t>, C</w:t>
      </w:r>
      <w:r>
        <w:rPr>
          <w:vertAlign w:val="subscript"/>
        </w:rPr>
        <w:t>12</w:t>
      </w:r>
      <w:r>
        <w:t xml:space="preserve"> - С</w:t>
      </w:r>
      <w:r>
        <w:rPr>
          <w:vertAlign w:val="subscript"/>
        </w:rPr>
        <w:t>16</w:t>
      </w:r>
      <w:r>
        <w:t xml:space="preserve"> (пп. 18, 19.2, 20.1) следует хранить в емкостях из кислотостойких материалов.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3, 5).</w:t>
      </w:r>
    </w:p>
    <w:p w:rsidR="000D4A9F" w:rsidRDefault="000D4A9F">
      <w:pPr>
        <w:pStyle w:val="1"/>
        <w:spacing w:after="0"/>
        <w:jc w:val="right"/>
        <w:rPr>
          <w:rFonts w:eastAsia="Times New Roman"/>
        </w:rPr>
      </w:pPr>
      <w:bookmarkStart w:id="20" w:name="PO0000082"/>
      <w:bookmarkStart w:id="21" w:name="_Toc289363316"/>
      <w:bookmarkEnd w:id="20"/>
      <w:r>
        <w:rPr>
          <w:rFonts w:eastAsia="Times New Roman"/>
          <w:i/>
          <w:iCs/>
        </w:rPr>
        <w:t>ПРИЛОЖЕНИЕ 2</w:t>
      </w:r>
      <w:bookmarkEnd w:id="21"/>
    </w:p>
    <w:p w:rsidR="000D4A9F" w:rsidRDefault="000D4A9F">
      <w:pPr>
        <w:shd w:val="clear" w:color="auto" w:fill="FFFFFF"/>
        <w:ind w:right="554"/>
        <w:jc w:val="right"/>
        <w:rPr>
          <w:rFonts w:eastAsiaTheme="minorEastAsia"/>
        </w:rPr>
      </w:pPr>
      <w:r>
        <w:rPr>
          <w:i/>
          <w:iCs/>
          <w:sz w:val="24"/>
          <w:szCs w:val="24"/>
        </w:rPr>
        <w:t>Обязательное</w:t>
      </w:r>
    </w:p>
    <w:p w:rsidR="000D4A9F" w:rsidRDefault="000D4A9F">
      <w:pPr>
        <w:shd w:val="clear" w:color="auto" w:fill="FFFFFF"/>
        <w:spacing w:before="120" w:after="120"/>
        <w:jc w:val="right"/>
      </w:pPr>
      <w:r>
        <w:rPr>
          <w:spacing w:val="40"/>
          <w:sz w:val="24"/>
          <w:szCs w:val="24"/>
        </w:rPr>
        <w:t>Таблица 1</w:t>
      </w:r>
    </w:p>
    <w:p w:rsidR="000D4A9F" w:rsidRDefault="000D4A9F">
      <w:pPr>
        <w:shd w:val="clear" w:color="auto" w:fill="FFFFFF"/>
        <w:spacing w:after="120"/>
        <w:jc w:val="center"/>
      </w:pPr>
      <w:r>
        <w:rPr>
          <w:b/>
          <w:bCs/>
          <w:sz w:val="24"/>
          <w:szCs w:val="24"/>
        </w:rPr>
        <w:t>Порядок подготовки железнодорожных цистерн, автоцистерн и вагонов для нефтебитума к наливу нефти и нефтепродуктов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88"/>
        <w:gridCol w:w="353"/>
        <w:gridCol w:w="328"/>
        <w:gridCol w:w="246"/>
        <w:gridCol w:w="311"/>
        <w:gridCol w:w="213"/>
        <w:gridCol w:w="296"/>
        <w:gridCol w:w="381"/>
        <w:gridCol w:w="278"/>
        <w:gridCol w:w="214"/>
        <w:gridCol w:w="384"/>
        <w:gridCol w:w="322"/>
        <w:gridCol w:w="260"/>
        <w:gridCol w:w="263"/>
        <w:gridCol w:w="263"/>
        <w:gridCol w:w="211"/>
        <w:gridCol w:w="211"/>
        <w:gridCol w:w="211"/>
        <w:gridCol w:w="214"/>
        <w:gridCol w:w="356"/>
        <w:gridCol w:w="222"/>
        <w:gridCol w:w="356"/>
        <w:gridCol w:w="402"/>
        <w:gridCol w:w="463"/>
        <w:gridCol w:w="392"/>
        <w:gridCol w:w="377"/>
        <w:gridCol w:w="279"/>
        <w:gridCol w:w="184"/>
        <w:gridCol w:w="214"/>
        <w:gridCol w:w="214"/>
        <w:gridCol w:w="281"/>
      </w:tblGrid>
      <w:tr w:rsidR="000D4A9F">
        <w:trPr>
          <w:tblHeader/>
          <w:jc w:val="center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bookmarkStart w:id="22" w:name="TO0000004"/>
            <w:r>
              <w:rPr>
                <w:sz w:val="12"/>
                <w:szCs w:val="12"/>
              </w:rPr>
              <w:t>Наименование нефтепродуктов, подлежащих наливу</w:t>
            </w:r>
            <w:bookmarkEnd w:id="22"/>
          </w:p>
        </w:tc>
        <w:tc>
          <w:tcPr>
            <w:tcW w:w="4485" w:type="pct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НАИМЕНОВАНИЕ СЛИТОГО НЕФТЕПРОДУКТА</w:t>
            </w: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нефтяная ароматика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растворители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компоненты </w:t>
            </w:r>
            <w:r>
              <w:rPr>
                <w:sz w:val="12"/>
                <w:szCs w:val="12"/>
              </w:rPr>
              <w:br/>
              <w:t>топлив</w:t>
            </w:r>
          </w:p>
        </w:tc>
        <w:tc>
          <w:tcPr>
            <w:tcW w:w="148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топлива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керосины </w:t>
            </w:r>
            <w:r>
              <w:rPr>
                <w:sz w:val="12"/>
                <w:szCs w:val="12"/>
              </w:rPr>
              <w:br/>
              <w:t>осветительные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керосины </w:t>
            </w:r>
            <w:r>
              <w:rPr>
                <w:sz w:val="12"/>
                <w:szCs w:val="12"/>
              </w:rPr>
              <w:br/>
              <w:t>для технических целей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смола нефтяная типа Е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сырье для пиролиза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присадки</w:t>
            </w:r>
          </w:p>
        </w:tc>
        <w:tc>
          <w:tcPr>
            <w:tcW w:w="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масла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сырье для производства </w:t>
            </w:r>
            <w:r>
              <w:rPr>
                <w:sz w:val="12"/>
                <w:szCs w:val="12"/>
              </w:rPr>
              <w:br/>
              <w:t xml:space="preserve">битумов, </w:t>
            </w:r>
            <w:r>
              <w:rPr>
                <w:sz w:val="12"/>
                <w:szCs w:val="12"/>
              </w:rPr>
              <w:br/>
              <w:t xml:space="preserve">битумы </w:t>
            </w:r>
            <w:r>
              <w:rPr>
                <w:sz w:val="12"/>
                <w:szCs w:val="12"/>
              </w:rPr>
              <w:br/>
              <w:t xml:space="preserve">дорожные </w:t>
            </w:r>
            <w:r>
              <w:rPr>
                <w:sz w:val="12"/>
                <w:szCs w:val="12"/>
              </w:rPr>
              <w:br/>
              <w:t>жидкие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битумы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сырье для производства сажи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кислоты нефтяные, </w:t>
            </w:r>
            <w:r>
              <w:rPr>
                <w:sz w:val="12"/>
                <w:szCs w:val="12"/>
              </w:rPr>
              <w:br/>
              <w:t>эмульсолы, деэмульгаторы, связующее литейное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пенообразователи</w:t>
            </w: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лакойль, </w:t>
            </w:r>
            <w:r>
              <w:rPr>
                <w:sz w:val="12"/>
                <w:szCs w:val="12"/>
              </w:rPr>
              <w:br/>
              <w:t>пирополимеры</w:t>
            </w: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парафины нефтяные твердые, петролатум, </w:t>
            </w:r>
            <w:r>
              <w:rPr>
                <w:sz w:val="12"/>
                <w:szCs w:val="12"/>
              </w:rPr>
              <w:br/>
              <w:t xml:space="preserve">гач и церезин </w:t>
            </w:r>
            <w:r>
              <w:rPr>
                <w:sz w:val="12"/>
                <w:szCs w:val="12"/>
              </w:rPr>
              <w:br/>
              <w:t xml:space="preserve">неочищенные, </w:t>
            </w:r>
            <w:r>
              <w:rPr>
                <w:sz w:val="12"/>
                <w:szCs w:val="12"/>
              </w:rPr>
              <w:br/>
              <w:t>защитный воск</w:t>
            </w: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парафины нефтяные жидкие</w:t>
            </w: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нефть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нефтепродукты отработанные</w:t>
            </w: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газовый конденсат</w:t>
            </w: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бензины</w:t>
            </w:r>
          </w:p>
        </w:tc>
        <w:tc>
          <w:tcPr>
            <w:tcW w:w="1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для </w:t>
            </w:r>
            <w:r>
              <w:rPr>
                <w:sz w:val="12"/>
                <w:szCs w:val="12"/>
              </w:rPr>
              <w:br/>
              <w:t xml:space="preserve">реактивных </w:t>
            </w:r>
            <w:r>
              <w:rPr>
                <w:sz w:val="12"/>
                <w:szCs w:val="12"/>
              </w:rPr>
              <w:br/>
              <w:t>двигателей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нафтил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дизельные</w:t>
            </w:r>
          </w:p>
        </w:tc>
        <w:tc>
          <w:tcPr>
            <w:tcW w:w="1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нефтяное </w:t>
            </w:r>
            <w:r>
              <w:rPr>
                <w:sz w:val="12"/>
                <w:szCs w:val="12"/>
              </w:rPr>
              <w:br/>
              <w:t xml:space="preserve">для </w:t>
            </w:r>
            <w:r>
              <w:rPr>
                <w:sz w:val="12"/>
                <w:szCs w:val="12"/>
              </w:rPr>
              <w:br/>
              <w:t xml:space="preserve">газотурбинных </w:t>
            </w:r>
            <w:r>
              <w:rPr>
                <w:sz w:val="12"/>
                <w:szCs w:val="12"/>
              </w:rPr>
              <w:br/>
              <w:t xml:space="preserve">установок, </w:t>
            </w:r>
            <w:r>
              <w:rPr>
                <w:sz w:val="12"/>
                <w:szCs w:val="12"/>
              </w:rPr>
              <w:br/>
              <w:t>печное бытовое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моторные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мазуты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1-й группы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2-й группы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3-й группы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осевые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групп ММО, </w:t>
            </w:r>
            <w:r>
              <w:rPr>
                <w:sz w:val="12"/>
                <w:szCs w:val="12"/>
              </w:rPr>
              <w:br/>
              <w:t>МИО</w:t>
            </w:r>
          </w:p>
        </w:tc>
        <w:tc>
          <w:tcPr>
            <w:tcW w:w="1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группы СНО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</w:tr>
      <w:tr w:rsidR="000D4A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</w:tr>
    </w:tbl>
    <w:p w:rsidR="000D4A9F" w:rsidRDefault="000D4A9F">
      <w:pPr>
        <w:jc w:val="center"/>
        <w:rPr>
          <w:rFonts w:eastAsiaTheme="minorEastAsia"/>
          <w:sz w:val="20"/>
          <w:szCs w:val="20"/>
        </w:rPr>
      </w:pPr>
      <w:r>
        <w:rPr>
          <w:vanish/>
          <w:sz w:val="24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98"/>
        <w:gridCol w:w="666"/>
        <w:gridCol w:w="670"/>
        <w:gridCol w:w="586"/>
        <w:gridCol w:w="657"/>
        <w:gridCol w:w="371"/>
        <w:gridCol w:w="130"/>
        <w:gridCol w:w="130"/>
        <w:gridCol w:w="130"/>
        <w:gridCol w:w="268"/>
        <w:gridCol w:w="130"/>
        <w:gridCol w:w="223"/>
        <w:gridCol w:w="130"/>
        <w:gridCol w:w="130"/>
        <w:gridCol w:w="268"/>
        <w:gridCol w:w="130"/>
        <w:gridCol w:w="130"/>
        <w:gridCol w:w="130"/>
        <w:gridCol w:w="130"/>
        <w:gridCol w:w="223"/>
        <w:gridCol w:w="130"/>
        <w:gridCol w:w="130"/>
        <w:gridCol w:w="268"/>
        <w:gridCol w:w="130"/>
        <w:gridCol w:w="130"/>
        <w:gridCol w:w="130"/>
        <w:gridCol w:w="2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0D4A9F">
        <w:trPr>
          <w:tblHeader/>
          <w:jc w:val="center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авиационные </w:t>
            </w:r>
            <w:r>
              <w:rPr>
                <w:sz w:val="12"/>
                <w:szCs w:val="12"/>
              </w:rPr>
              <w:br/>
              <w:t>этилированные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автомобильные этилированные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автомобильные неэтилированные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авиационный неэтилированный </w:t>
            </w:r>
            <w:r>
              <w:rPr>
                <w:sz w:val="12"/>
                <w:szCs w:val="12"/>
              </w:rPr>
              <w:br/>
              <w:t xml:space="preserve">марки </w:t>
            </w:r>
            <w:r>
              <w:rPr>
                <w:sz w:val="12"/>
                <w:szCs w:val="12"/>
              </w:rPr>
              <w:br/>
              <w:t xml:space="preserve">Б-70; </w:t>
            </w:r>
            <w:r>
              <w:rPr>
                <w:sz w:val="12"/>
                <w:szCs w:val="12"/>
              </w:rPr>
              <w:br/>
              <w:t>прямогонный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малосернистые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 xml:space="preserve">сернистые, </w:t>
            </w:r>
            <w:r>
              <w:rPr>
                <w:sz w:val="12"/>
                <w:szCs w:val="12"/>
              </w:rPr>
              <w:br/>
              <w:t>высокосернистые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2"/>
                <w:szCs w:val="12"/>
              </w:rPr>
              <w:t>флотские</w:t>
            </w:r>
          </w:p>
        </w:tc>
        <w:tc>
          <w:tcPr>
            <w:tcW w:w="8724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autoSpaceDE w:val="0"/>
              <w:autoSpaceDN w:val="0"/>
              <w:rPr>
                <w:rFonts w:eastAsiaTheme="minorEastAsia"/>
              </w:rPr>
            </w:pPr>
            <w:r>
              <w:t> 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 Нефтяная ароматика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 Растворители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 Компоненты топлив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 Бензины авиационные этилированные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 Бензины автомобильные этилированные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 Бензины автомобильные неэтилированные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1*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 Бензин авиационный неэтилированный марки Б-70, бензин прямогонный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 Топлива для реактивных двигателей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 Топливо нафтил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 Топлива дизельные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 Топливо нефтяное для газотурбинных установок, печное бытовое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12. Топлива моторные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13. Мазуты малосернистые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 Мазуты сернистые, высокосернистые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 Мазуты флотские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 Керосины осветительные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 Керосины для технических целей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 Смола нефтяная типа 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 Сырье для пиролиза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 Присадки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 Масла 1-й группы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 Масла 2-й группы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 Масла 3-й группы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i/>
                <w:iCs/>
                <w:vertAlign w:val="superscript"/>
              </w:rPr>
              <w:t>***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 Масла осевые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 Сырье для производства битумов, битумы дорожные жидкие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26. Битумы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27. Сырье для производства сажи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 Кислоты нефтяные, эмульсолы, деэмульгаторы, связующее литейное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29. Пенообразователи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30. Лакойль, пирополимеры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31. Парафины нефтяные твердые (кроме парафинов для пищевой промышленности), петролатум, гач и церезин неочищенные, защитный воск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32. Парафины нефтяные жидкие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33. Нефть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34. Нефтепродукты отработанные групп ММО, МИО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35. Нефтепродукты отработанные группы СНО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36. Конденсат газовый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</w:tbl>
    <w:p w:rsidR="000D4A9F" w:rsidRDefault="000D4A9F">
      <w:pPr>
        <w:shd w:val="clear" w:color="auto" w:fill="FFFFFF"/>
        <w:spacing w:before="120"/>
        <w:ind w:firstLine="284"/>
        <w:jc w:val="both"/>
        <w:rPr>
          <w:rFonts w:eastAsiaTheme="minorEastAsia"/>
          <w:sz w:val="20"/>
          <w:szCs w:val="20"/>
        </w:rPr>
      </w:pPr>
      <w:r>
        <w:t>Условные обозначения:</w:t>
      </w:r>
    </w:p>
    <w:p w:rsidR="000D4A9F" w:rsidRDefault="000D4A9F">
      <w:pPr>
        <w:shd w:val="clear" w:color="auto" w:fill="FFFFFF"/>
        <w:ind w:firstLine="283"/>
        <w:jc w:val="both"/>
      </w:pPr>
      <w:r>
        <w:t>0 - налив запрещен;</w:t>
      </w:r>
    </w:p>
    <w:p w:rsidR="000D4A9F" w:rsidRDefault="000D4A9F">
      <w:pPr>
        <w:shd w:val="clear" w:color="auto" w:fill="FFFFFF"/>
        <w:ind w:firstLine="283"/>
        <w:jc w:val="both"/>
      </w:pPr>
      <w:r>
        <w:t>1 - удалить остаток, промыть под давлением горячей водой с нефтяным растворителем или с моющим веществом (или пропарить) и просушить котел цистерны; при наливе нефтепродуктов, указанных в пп. 8 и 9, протереть котел цистерны хлопчатобумажной тканью, смоченной наливаемым нефтепродуктом или керосином;</w:t>
      </w:r>
    </w:p>
    <w:p w:rsidR="000D4A9F" w:rsidRDefault="000D4A9F">
      <w:pPr>
        <w:shd w:val="clear" w:color="auto" w:fill="FFFFFF"/>
        <w:ind w:firstLine="283"/>
        <w:jc w:val="both"/>
      </w:pPr>
      <w:r>
        <w:t>2 - удалить остаток и просушить котел цистерны; протирка котла цистерны вручную проводится при наливе нефтепродуктов, указанных в пп. 8 и 9;</w:t>
      </w:r>
    </w:p>
    <w:p w:rsidR="000D4A9F" w:rsidRDefault="000D4A9F">
      <w:pPr>
        <w:shd w:val="clear" w:color="auto" w:fill="FFFFFF"/>
        <w:ind w:firstLine="283"/>
        <w:jc w:val="both"/>
      </w:pPr>
      <w:r>
        <w:t>3 - удалить остаток;</w:t>
      </w:r>
    </w:p>
    <w:p w:rsidR="000D4A9F" w:rsidRDefault="000D4A9F">
      <w:pPr>
        <w:shd w:val="clear" w:color="auto" w:fill="FFFFFF"/>
        <w:ind w:firstLine="283"/>
        <w:jc w:val="both"/>
      </w:pPr>
      <w:r>
        <w:t>4 - зачистка не требуется (остаток не более 1 см);</w:t>
      </w:r>
    </w:p>
    <w:p w:rsidR="000D4A9F" w:rsidRDefault="000D4A9F">
      <w:pPr>
        <w:shd w:val="clear" w:color="auto" w:fill="FFFFFF"/>
        <w:ind w:firstLine="283"/>
        <w:jc w:val="both"/>
      </w:pPr>
      <w:r>
        <w:t>5 - зачистка не требуется (остаток не более 3 см).</w:t>
      </w:r>
    </w:p>
    <w:p w:rsidR="000D4A9F" w:rsidRDefault="000D4A9F">
      <w:pPr>
        <w:shd w:val="clear" w:color="auto" w:fill="FFFFFF"/>
        <w:spacing w:before="120"/>
        <w:jc w:val="both"/>
      </w:pPr>
      <w:r>
        <w:t>_____________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</w:t>
      </w:r>
      <w:r>
        <w:t xml:space="preserve"> Не допускается налив нефтепродуктов, предназначенных для экспорта.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**</w:t>
      </w:r>
      <w:r>
        <w:t xml:space="preserve"> В период ноябрь - март включительно подготовку проводить в соответствии с обозначением 1.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***</w:t>
      </w:r>
      <w:r>
        <w:t xml:space="preserve"> При наливе одноименных (по маркам) нефтепродуктов допускается подготовка цистерн в соответствии с обозначением 4. При наличии механических примесей их следует удалить полностью.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*4</w:t>
      </w:r>
      <w:r>
        <w:t xml:space="preserve"> Перед наливом нефтей, предназначенных для изготовления масел, подготовку проводить в соответствии с обозначением 3.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*5</w:t>
      </w:r>
      <w:r>
        <w:t xml:space="preserve"> Запрещается налив авиационных масел.</w:t>
      </w:r>
    </w:p>
    <w:p w:rsidR="000D4A9F" w:rsidRDefault="000D4A9F">
      <w:pPr>
        <w:shd w:val="clear" w:color="auto" w:fill="FFFFFF"/>
        <w:spacing w:before="120" w:after="120"/>
        <w:jc w:val="right"/>
      </w:pPr>
      <w:r>
        <w:rPr>
          <w:rFonts w:eastAsia="Times New Roman"/>
          <w:sz w:val="24"/>
          <w:szCs w:val="24"/>
        </w:rPr>
        <w:br w:type="page"/>
      </w:r>
      <w:r>
        <w:rPr>
          <w:spacing w:val="40"/>
          <w:sz w:val="24"/>
          <w:szCs w:val="24"/>
        </w:rPr>
        <w:t>Таблица 2</w:t>
      </w:r>
    </w:p>
    <w:p w:rsidR="000D4A9F" w:rsidRDefault="000D4A9F">
      <w:pPr>
        <w:shd w:val="clear" w:color="auto" w:fill="FFFFFF"/>
        <w:spacing w:after="120"/>
        <w:jc w:val="center"/>
      </w:pPr>
      <w:r>
        <w:rPr>
          <w:b/>
          <w:bCs/>
          <w:sz w:val="24"/>
          <w:szCs w:val="24"/>
        </w:rPr>
        <w:t>Порядок подготовки резервуаров и наливных судов к наливу нефти и нефтепродуктов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97"/>
        <w:gridCol w:w="362"/>
        <w:gridCol w:w="336"/>
        <w:gridCol w:w="406"/>
        <w:gridCol w:w="415"/>
        <w:gridCol w:w="461"/>
        <w:gridCol w:w="463"/>
        <w:gridCol w:w="319"/>
        <w:gridCol w:w="218"/>
        <w:gridCol w:w="303"/>
        <w:gridCol w:w="246"/>
        <w:gridCol w:w="392"/>
        <w:gridCol w:w="284"/>
        <w:gridCol w:w="407"/>
        <w:gridCol w:w="454"/>
        <w:gridCol w:w="265"/>
        <w:gridCol w:w="393"/>
        <w:gridCol w:w="270"/>
        <w:gridCol w:w="356"/>
        <w:gridCol w:w="215"/>
        <w:gridCol w:w="215"/>
        <w:gridCol w:w="215"/>
        <w:gridCol w:w="219"/>
        <w:gridCol w:w="365"/>
        <w:gridCol w:w="188"/>
        <w:gridCol w:w="198"/>
        <w:gridCol w:w="245"/>
        <w:gridCol w:w="288"/>
      </w:tblGrid>
      <w:tr w:rsidR="000D4A9F">
        <w:trPr>
          <w:tblHeader/>
          <w:jc w:val="center"/>
        </w:trPr>
        <w:tc>
          <w:tcPr>
            <w:tcW w:w="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bookmarkStart w:id="23" w:name="TO0000005"/>
            <w:r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br/>
              <w:t xml:space="preserve">нефтепродуктов, </w:t>
            </w:r>
            <w:r>
              <w:rPr>
                <w:sz w:val="16"/>
                <w:szCs w:val="16"/>
              </w:rPr>
              <w:br/>
              <w:t xml:space="preserve">подлежащих </w:t>
            </w:r>
            <w:r>
              <w:rPr>
                <w:sz w:val="16"/>
                <w:szCs w:val="16"/>
              </w:rPr>
              <w:br/>
              <w:t>наливу</w:t>
            </w:r>
            <w:bookmarkEnd w:id="23"/>
          </w:p>
        </w:tc>
        <w:tc>
          <w:tcPr>
            <w:tcW w:w="4360" w:type="pct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НАИМЕНОВАНИЕ СЛИТОГО НЕФТЕПРОДУКТА</w:t>
            </w: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нефтяная </w:t>
            </w:r>
            <w:r>
              <w:rPr>
                <w:sz w:val="16"/>
                <w:szCs w:val="16"/>
              </w:rPr>
              <w:br/>
              <w:t>ароматика</w:t>
            </w:r>
          </w:p>
        </w:tc>
        <w:tc>
          <w:tcPr>
            <w:tcW w:w="1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растворители</w:t>
            </w:r>
          </w:p>
        </w:tc>
        <w:tc>
          <w:tcPr>
            <w:tcW w:w="1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компоненты </w:t>
            </w:r>
            <w:r>
              <w:rPr>
                <w:sz w:val="16"/>
                <w:szCs w:val="16"/>
              </w:rPr>
              <w:br/>
              <w:t>топлив</w:t>
            </w:r>
          </w:p>
        </w:tc>
        <w:tc>
          <w:tcPr>
            <w:tcW w:w="202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ТОПЛИВА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керосины осветительные и для </w:t>
            </w:r>
            <w:r>
              <w:rPr>
                <w:sz w:val="16"/>
                <w:szCs w:val="16"/>
              </w:rPr>
              <w:br/>
              <w:t xml:space="preserve">технических </w:t>
            </w:r>
            <w:r>
              <w:rPr>
                <w:sz w:val="16"/>
                <w:szCs w:val="16"/>
              </w:rPr>
              <w:br/>
              <w:t>целей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сырье для пиролиза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присадки (только для резервуаров)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масла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сырье </w:t>
            </w:r>
            <w:r>
              <w:rPr>
                <w:sz w:val="16"/>
                <w:szCs w:val="16"/>
              </w:rPr>
              <w:br/>
              <w:t xml:space="preserve">для производства </w:t>
            </w:r>
            <w:r>
              <w:rPr>
                <w:sz w:val="16"/>
                <w:szCs w:val="16"/>
              </w:rPr>
              <w:br/>
              <w:t>сажи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нефть</w:t>
            </w:r>
          </w:p>
        </w:tc>
        <w:tc>
          <w:tcPr>
            <w:tcW w:w="31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нефтепродукты </w:t>
            </w:r>
            <w:r>
              <w:rPr>
                <w:sz w:val="16"/>
                <w:szCs w:val="16"/>
              </w:rPr>
              <w:br/>
              <w:t>отработанные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газовый </w:t>
            </w:r>
            <w:r>
              <w:rPr>
                <w:sz w:val="16"/>
                <w:szCs w:val="16"/>
              </w:rPr>
              <w:br/>
              <w:t>конденсат</w:t>
            </w: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бензины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для реактивных </w:t>
            </w:r>
            <w:r>
              <w:rPr>
                <w:sz w:val="16"/>
                <w:szCs w:val="16"/>
              </w:rPr>
              <w:br/>
              <w:t>двигателей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нафтил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дизельные</w:t>
            </w:r>
          </w:p>
        </w:tc>
        <w:tc>
          <w:tcPr>
            <w:tcW w:w="1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печное бытовое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Нефтяное </w:t>
            </w:r>
            <w:r>
              <w:rPr>
                <w:sz w:val="16"/>
                <w:szCs w:val="16"/>
              </w:rPr>
              <w:br/>
              <w:t xml:space="preserve">для </w:t>
            </w:r>
            <w:r>
              <w:rPr>
                <w:sz w:val="16"/>
                <w:szCs w:val="16"/>
              </w:rPr>
              <w:br/>
              <w:t xml:space="preserve">газотурбинных </w:t>
            </w:r>
            <w:r>
              <w:rPr>
                <w:sz w:val="16"/>
                <w:szCs w:val="16"/>
              </w:rPr>
              <w:br/>
              <w:t>установок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моторные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мазуты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1-й группы</w:t>
            </w:r>
          </w:p>
        </w:tc>
        <w:tc>
          <w:tcPr>
            <w:tcW w:w="1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2-й группы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3-й группы</w:t>
            </w: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осевые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</w:tr>
      <w:tr w:rsidR="000D4A9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авиационные </w:t>
            </w:r>
            <w:r>
              <w:rPr>
                <w:sz w:val="16"/>
                <w:szCs w:val="16"/>
              </w:rPr>
              <w:br/>
              <w:t>этилированные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автомобильные </w:t>
            </w:r>
            <w:r>
              <w:rPr>
                <w:sz w:val="16"/>
                <w:szCs w:val="16"/>
              </w:rPr>
              <w:br/>
              <w:t>этилированные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автомобильные неэтилированные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авиационный неэтилированный </w:t>
            </w:r>
            <w:r>
              <w:rPr>
                <w:sz w:val="16"/>
                <w:szCs w:val="16"/>
              </w:rPr>
              <w:br/>
              <w:t xml:space="preserve">марки Б-70; </w:t>
            </w:r>
            <w:r>
              <w:rPr>
                <w:sz w:val="16"/>
                <w:szCs w:val="16"/>
              </w:rPr>
              <w:br/>
              <w:t>прямогонный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малосернистые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сернистые, </w:t>
            </w:r>
            <w:r>
              <w:rPr>
                <w:sz w:val="16"/>
                <w:szCs w:val="16"/>
              </w:rPr>
              <w:br/>
              <w:t>высокосернистые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флотские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групп </w:t>
            </w:r>
            <w:r>
              <w:rPr>
                <w:sz w:val="16"/>
                <w:szCs w:val="16"/>
              </w:rPr>
              <w:br/>
              <w:t>ММО, МИО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группы СНО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4A9F" w:rsidRDefault="000D4A9F">
            <w:pPr>
              <w:rPr>
                <w:rFonts w:eastAsiaTheme="minorEastAsia"/>
              </w:rPr>
            </w:pP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1. Нефтяная ароматика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2. Растворители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3. Компоненты топлив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4. Бензины авиационные этилированные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5. Бензины автомобильные этилированные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6. Бензины автомобильные неэтилированные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7. Бензин авиационный неэтилированный марки Б-70, бензин прямогонный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*,*4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8. Топлива для реактивных двигателей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9. Топливо нафтил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10. Топлива дизельные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11. Топливо печное бытовое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12. Топливо нефтяное для газотурбинных установок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13. Топлива моторные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14. Мазуты малосернистые, сырье для производства битумов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</w:t>
            </w:r>
            <w:r>
              <w:t xml:space="preserve">, </w:t>
            </w:r>
            <w:r>
              <w:rPr>
                <w:vertAlign w:val="superscript"/>
              </w:rPr>
              <w:t>*5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15. Мазуты сернистые, высокосернистые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16. Мазуты флотские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17. Керосины осветительные и для технических целей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  <w:r>
              <w:rPr>
                <w:vertAlign w:val="superscript"/>
              </w:rPr>
              <w:t>*4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***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18. Сырье для пиролиза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19. Присадки (только для резервуаров)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20. Масла 1-й группы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21. Масла 2-й группы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22. Масла 3-й группы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23. Масла осевые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24. Сырье для производства сажи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25. Нефть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vertAlign w:val="superscript"/>
              </w:rPr>
              <w:t>*5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26. Нефтепродукты отработанные групп ММО, МИО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2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27. Нефтепродукты отработанные группы СНО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</w:tr>
      <w:tr w:rsidR="000D4A9F">
        <w:trPr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28. Конденсат газовый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5</w:t>
            </w:r>
            <w:r>
              <w:rPr>
                <w:vertAlign w:val="superscript"/>
              </w:rPr>
              <w:t>*</w:t>
            </w:r>
          </w:p>
        </w:tc>
      </w:tr>
    </w:tbl>
    <w:p w:rsidR="000D4A9F" w:rsidRDefault="000D4A9F">
      <w:pPr>
        <w:shd w:val="clear" w:color="auto" w:fill="FFFFFF"/>
        <w:spacing w:before="120"/>
        <w:ind w:firstLine="284"/>
        <w:jc w:val="both"/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Условные обозначения: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0 - налив запрещен;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1 - удалить остаток, промыть под давлением горячей водой с моющим веществом или с растворителем (или пропарить), затем снова промыть горячей водой и просушить днище;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2 - удалить остаток, промыть горячей водой и просушить днище;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3 - удалить остаток;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4 - зачистка не требуется (остаток не более 0,25 % грузоподъемности судна или вместимости резервуара, для барж - 0,5 %). Наличие в судах подтоварной воды не допускается;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sz w:val="24"/>
          <w:szCs w:val="24"/>
        </w:rPr>
        <w:t>5 - зачистка не требуется (остаток не более 2 % грузоподъемности судна). Операция 5 распространяется только на суда; для резервуаров должна применяться операция 4;</w:t>
      </w:r>
    </w:p>
    <w:p w:rsidR="000D4A9F" w:rsidRDefault="000D4A9F">
      <w:pPr>
        <w:shd w:val="clear" w:color="auto" w:fill="FFFFFF"/>
        <w:spacing w:before="120"/>
        <w:jc w:val="both"/>
      </w:pPr>
      <w:r>
        <w:rPr>
          <w:sz w:val="24"/>
          <w:szCs w:val="24"/>
        </w:rPr>
        <w:t>___________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</w:t>
      </w:r>
      <w:r>
        <w:t xml:space="preserve"> Налив в резервуары одноименных (по маркам) нефтей и нефтепродуктов допускается на любое количество остатка при условии, если качество смеси из наливаемого нефтепродукта и остатка соответствует требованиям НТД на данный продукт, за исключением нефтепродуктов, указанных в пп. 4 - 9, и авиационных масел. Налив последних допускается при условии, если качество остатка соответствует требованиям НТД.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**</w:t>
      </w:r>
      <w:r>
        <w:t xml:space="preserve"> </w:t>
      </w:r>
      <w:r>
        <w:rPr>
          <w:b/>
          <w:bCs/>
        </w:rPr>
        <w:t>(Исключена, Изм. № 5).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***</w:t>
      </w:r>
      <w:r>
        <w:t xml:space="preserve"> Если судно ранее (т.е. перед наливом топлив дизельных, печного бытового) транспортировало нефтепродукты, указанные в пп. 13 - 16, 18, 24, 25, то обработку танков проводят в соответствии с обозначением 1. Подготовка танков в соответствии с операциями, указанными в таблице, допускается, если судно не менее трех раз перевозило топлива дизельные или печное бытовое. При транспортировании нефтепродуктов на экспорт подготовку танков проводят в соответствии с обозначением 1 независимо от числа промежуточных рейсов судна с дизельным или печным бытовым топливом.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*4</w:t>
      </w:r>
      <w:r>
        <w:t xml:space="preserve"> Перед наливом прямогонного бензина для экспорта подготовку резервуаров и судов проводят в соответствии с обозначением 1; налив прямогонного бензина в суда, перевозившие его в предыдущем рейсе, проводят на остаток, если качество остатка соответствует допустимым нормам по содержанию тетраэтилсвинца; налив осветительного керосина запрещен.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vertAlign w:val="superscript"/>
        </w:rPr>
        <w:t>*5</w:t>
      </w:r>
      <w:r>
        <w:t xml:space="preserve"> Перед наливом мазутов, нефтей, предназначенных для изготовления авиационных масел, подготовку ведут в соответствии с обозначением 3.</w:t>
      </w:r>
    </w:p>
    <w:p w:rsidR="000D4A9F" w:rsidRDefault="000D4A9F">
      <w:pPr>
        <w:shd w:val="clear" w:color="auto" w:fill="FFFFFF"/>
        <w:spacing w:after="120"/>
        <w:ind w:firstLine="284"/>
        <w:jc w:val="both"/>
      </w:pPr>
      <w:r>
        <w:rPr>
          <w:vertAlign w:val="superscript"/>
        </w:rPr>
        <w:t>*6</w:t>
      </w:r>
      <w:r>
        <w:t xml:space="preserve"> Перед наливом дизельного топлива, предназначенного на экспорт, следует промыть грузовую магистраль судна моющим средством, которым проводилась мойка танков.</w:t>
      </w:r>
    </w:p>
    <w:p w:rsidR="000D4A9F" w:rsidRDefault="000D4A9F">
      <w:pPr>
        <w:shd w:val="clear" w:color="auto" w:fill="FFFFFF"/>
        <w:ind w:firstLine="283"/>
        <w:jc w:val="both"/>
      </w:pPr>
      <w:r>
        <w:rPr>
          <w:b/>
          <w:bCs/>
          <w:sz w:val="24"/>
          <w:szCs w:val="24"/>
        </w:rPr>
        <w:t>(Измененная редакция, Изм. № 3, 5).</w:t>
      </w:r>
    </w:p>
    <w:p w:rsidR="000D4A9F" w:rsidRDefault="000D4A9F">
      <w:pPr>
        <w:pStyle w:val="1"/>
        <w:spacing w:after="0"/>
        <w:jc w:val="right"/>
        <w:rPr>
          <w:rFonts w:eastAsia="Times New Roman"/>
        </w:rPr>
      </w:pPr>
      <w:r>
        <w:rPr>
          <w:rFonts w:eastAsia="Times New Roman"/>
        </w:rPr>
        <w:br w:type="page"/>
      </w:r>
      <w:bookmarkStart w:id="24" w:name="PO0000095"/>
      <w:bookmarkStart w:id="25" w:name="_Toc289363317"/>
      <w:bookmarkEnd w:id="24"/>
      <w:r>
        <w:rPr>
          <w:rFonts w:eastAsia="Times New Roman"/>
          <w:i/>
          <w:iCs/>
        </w:rPr>
        <w:t>ПРИЛОЖЕНИЕ 3</w:t>
      </w:r>
      <w:bookmarkEnd w:id="25"/>
    </w:p>
    <w:p w:rsidR="000D4A9F" w:rsidRDefault="000D4A9F">
      <w:pPr>
        <w:shd w:val="clear" w:color="auto" w:fill="FFFFFF"/>
        <w:spacing w:after="120"/>
        <w:ind w:right="794"/>
        <w:jc w:val="right"/>
        <w:rPr>
          <w:rFonts w:eastAsiaTheme="minorEastAsia"/>
        </w:rPr>
      </w:pPr>
      <w:r>
        <w:rPr>
          <w:i/>
          <w:iCs/>
          <w:sz w:val="24"/>
          <w:szCs w:val="24"/>
        </w:rPr>
        <w:t>Справочное</w:t>
      </w:r>
    </w:p>
    <w:p w:rsidR="000D4A9F" w:rsidRDefault="000D4A9F">
      <w:pPr>
        <w:shd w:val="clear" w:color="auto" w:fill="FFFFFF"/>
        <w:spacing w:after="120"/>
        <w:jc w:val="center"/>
      </w:pPr>
      <w:r>
        <w:rPr>
          <w:b/>
          <w:bCs/>
          <w:sz w:val="24"/>
          <w:szCs w:val="24"/>
        </w:rPr>
        <w:t>АДМИНИСТРАТИВНЫЕ РАЙОНЫ СССР, ПРИ ТРАНСПОРТИРОВАНИИ В КОТОРЫЕ ДОЛЖНЫ СОБЛЮДАТЬСЯ ДОПОЛНИТЕЛЬНЫЕ УСЛОВИЯ ПО УПАКОВЫВАНИЮ НЕФТЕПРОДУКТОВ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394"/>
      </w:tblGrid>
      <w:tr w:rsidR="000D4A9F">
        <w:trPr>
          <w:tblHeader/>
          <w:jc w:val="center"/>
        </w:trPr>
        <w:tc>
          <w:tcPr>
            <w:tcW w:w="1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Административное деление</w:t>
            </w:r>
          </w:p>
        </w:tc>
        <w:tc>
          <w:tcPr>
            <w:tcW w:w="3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Наименование</w:t>
            </w:r>
          </w:p>
        </w:tc>
      </w:tr>
      <w:tr w:rsidR="000D4A9F">
        <w:trPr>
          <w:jc w:val="center"/>
        </w:trPr>
        <w:tc>
          <w:tcPr>
            <w:tcW w:w="1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Союзные республики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Азербайджанская ССР, Армянская ССР, Грузинская ССР, Казахская ССР (за исключением Северо-Казахстанской, Павлодарской, Кокчетавской областей), Киргизская ССР, Молдавская ССР, Туркменская ССР, Таджикская ССР, Узбекская ССР</w:t>
            </w:r>
          </w:p>
        </w:tc>
      </w:tr>
      <w:tr w:rsidR="000D4A9F">
        <w:trPr>
          <w:jc w:val="center"/>
        </w:trPr>
        <w:tc>
          <w:tcPr>
            <w:tcW w:w="1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Автономные республики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Дагестанская АССР, Кабардино-Балкарская АССР, Калмыцкая АССР, Северо-Осетинская АССР, Чечено-Ингушская АССР</w:t>
            </w:r>
          </w:p>
        </w:tc>
      </w:tr>
      <w:tr w:rsidR="000D4A9F">
        <w:trPr>
          <w:jc w:val="center"/>
        </w:trPr>
        <w:tc>
          <w:tcPr>
            <w:tcW w:w="16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Края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Краснодарский край, Ставропольский край, Приморский край</w:t>
            </w:r>
          </w:p>
        </w:tc>
      </w:tr>
      <w:tr w:rsidR="000D4A9F">
        <w:trPr>
          <w:jc w:val="center"/>
        </w:trPr>
        <w:tc>
          <w:tcPr>
            <w:tcW w:w="1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Области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Астраханская область, Волгоградская область, Донецкая область, Запорожская область, Ивано-Франковская область, Крымская область, Николаевская область, Одесская область, Ростовская область, Херсонская область, Черновицкая область</w:t>
            </w:r>
          </w:p>
        </w:tc>
      </w:tr>
    </w:tbl>
    <w:p w:rsidR="000D4A9F" w:rsidRDefault="000D4A9F">
      <w:pPr>
        <w:shd w:val="clear" w:color="auto" w:fill="FFFFFF"/>
        <w:spacing w:before="120" w:after="120"/>
        <w:jc w:val="center"/>
        <w:rPr>
          <w:rFonts w:eastAsiaTheme="minorEastAsia"/>
          <w:sz w:val="20"/>
          <w:szCs w:val="20"/>
        </w:rPr>
      </w:pPr>
      <w:r>
        <w:rPr>
          <w:b/>
          <w:bCs/>
          <w:sz w:val="24"/>
          <w:szCs w:val="24"/>
        </w:rPr>
        <w:t>ИНФОРМАЦИОННЫЕ ДАННЫЕ</w:t>
      </w:r>
    </w:p>
    <w:p w:rsidR="000D4A9F" w:rsidRDefault="000D4A9F">
      <w:pPr>
        <w:shd w:val="clear" w:color="auto" w:fill="FFFFFF"/>
        <w:spacing w:after="120"/>
        <w:ind w:left="284" w:hanging="284"/>
        <w:jc w:val="both"/>
      </w:pPr>
      <w:r>
        <w:rPr>
          <w:b/>
          <w:bCs/>
          <w:sz w:val="24"/>
          <w:szCs w:val="24"/>
        </w:rPr>
        <w:t>1. РАЗРАБОТАН И ВНЕСЕН Министерством нефтяной промышленности</w:t>
      </w:r>
    </w:p>
    <w:p w:rsidR="000D4A9F" w:rsidRDefault="000D4A9F">
      <w:pPr>
        <w:shd w:val="clear" w:color="auto" w:fill="FFFFFF"/>
        <w:spacing w:after="120"/>
        <w:ind w:left="284" w:hanging="284"/>
        <w:jc w:val="both"/>
      </w:pPr>
      <w:r>
        <w:rPr>
          <w:b/>
          <w:bCs/>
          <w:sz w:val="24"/>
          <w:szCs w:val="24"/>
        </w:rPr>
        <w:t>2. УТВЕРЖДЕН И ВВЕДЕН В ДЕЙСТВИЕ Постановлением Государственного комитета СССР по стандартам от 07.08.84 № 2776</w:t>
      </w:r>
    </w:p>
    <w:p w:rsidR="000D4A9F" w:rsidRDefault="000D4A9F">
      <w:pPr>
        <w:shd w:val="clear" w:color="auto" w:fill="FFFFFF"/>
        <w:spacing w:after="120"/>
        <w:ind w:left="284" w:hanging="284"/>
        <w:jc w:val="both"/>
      </w:pPr>
      <w:r>
        <w:rPr>
          <w:b/>
          <w:bCs/>
          <w:sz w:val="24"/>
          <w:szCs w:val="24"/>
        </w:rPr>
        <w:t>3. ВЗАМЕН ГОСТ 1510-76</w:t>
      </w:r>
    </w:p>
    <w:p w:rsidR="000D4A9F" w:rsidRDefault="000D4A9F">
      <w:pPr>
        <w:shd w:val="clear" w:color="auto" w:fill="FFFFFF"/>
        <w:spacing w:after="120"/>
        <w:ind w:left="284" w:hanging="284"/>
        <w:jc w:val="both"/>
      </w:pPr>
      <w:r>
        <w:rPr>
          <w:b/>
          <w:bCs/>
          <w:sz w:val="24"/>
          <w:szCs w:val="24"/>
        </w:rPr>
        <w:t>4. 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328"/>
      </w:tblGrid>
      <w:tr w:rsidR="000D4A9F">
        <w:trPr>
          <w:tblHeader/>
          <w:jc w:val="center"/>
        </w:trPr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Обозначение НТД, на который дана ссылка</w:t>
            </w:r>
          </w:p>
        </w:tc>
        <w:tc>
          <w:tcPr>
            <w:tcW w:w="1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Номер пункта, приложения</w:t>
            </w:r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14" w:tooltip="Система стандартов безопасности труда. Организация обучения безопасности труда. Общие положения" w:history="1">
              <w:r>
                <w:rPr>
                  <w:rStyle w:val="a3"/>
                </w:rPr>
                <w:t>ГОСТ 12.0.004-90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66" w:tooltip="Пункт 5.1" w:history="1">
              <w:r>
                <w:rPr>
                  <w:rStyle w:val="a3"/>
                </w:rPr>
                <w:t>5.1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15" w:tooltip="ССБТ. Пожаровзрывобезопасность статического электричества. Общие требования" w:history="1">
              <w:r>
                <w:rPr>
                  <w:rStyle w:val="a3"/>
                </w:rPr>
                <w:t>ГОСТ 12.1.018-93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71" w:tooltip="Пункт 5.6" w:history="1">
              <w:r>
                <w:rPr>
                  <w:rStyle w:val="a3"/>
                </w:rPr>
                <w:t>5.6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16" w:tooltip="Бумага мешочная. Технические условия" w:history="1">
              <w:r>
                <w:rPr>
                  <w:rStyle w:val="a3"/>
                </w:rPr>
                <w:t>ГОСТ 2228-81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13" w:tooltip="Пункт 2.5" w:history="1">
              <w:r>
                <w:rPr>
                  <w:rStyle w:val="a3"/>
                </w:rPr>
                <w:t>2.5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17" w:tooltip="Церезин. Технические условия" w:history="1">
              <w:r>
                <w:rPr>
                  <w:rStyle w:val="a3"/>
                </w:rPr>
                <w:t>ГОСТ 2488-79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r>
              <w:t xml:space="preserve">Приложение </w:t>
            </w:r>
            <w:hyperlink w:anchor="PO0000073" w:tooltip="Приложение 1" w:history="1">
              <w:r>
                <w:rPr>
                  <w:rStyle w:val="a3"/>
                </w:rPr>
                <w:t>1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18" w:tooltip="Маркировка грузов" w:history="1">
              <w:r>
                <w:rPr>
                  <w:rStyle w:val="a3"/>
                </w:rPr>
                <w:t>ГОСТ 14192-96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06" w:tooltip="Пункт 1.5" w:history="1">
              <w:r>
                <w:rPr>
                  <w:rStyle w:val="a3"/>
                </w:rPr>
                <w:t>1.5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19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      <w:r>
                <w:rPr>
                  <w:rStyle w:val="a3"/>
                </w:rPr>
                <w:t>ГОСТ 15846-2002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16" w:tooltip="Пункт 2.8" w:history="1">
              <w:r>
                <w:rPr>
                  <w:rStyle w:val="a3"/>
                </w:rPr>
                <w:t>2.8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20" w:tooltip="Грузы опасные. Классификация и маркировка" w:history="1">
              <w:r>
                <w:rPr>
                  <w:rStyle w:val="a3"/>
                </w:rPr>
                <w:t>ГОСТ 19433-88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06" w:tooltip="Пункт 1.5" w:history="1">
              <w:r>
                <w:rPr>
                  <w:rStyle w:val="a3"/>
                </w:rPr>
                <w:t>1.5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21" w:tooltip="Грузы опасные. Упаковка" w:history="1">
              <w:r>
                <w:rPr>
                  <w:rStyle w:val="a3"/>
                </w:rPr>
                <w:t>ГОСТ 26319-84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16" w:tooltip="Пункт 2.8" w:history="1">
              <w:r>
                <w:rPr>
                  <w:rStyle w:val="a3"/>
                </w:rPr>
                <w:t>2.8</w:t>
              </w:r>
            </w:hyperlink>
          </w:p>
        </w:tc>
      </w:tr>
      <w:tr w:rsidR="000D4A9F">
        <w:trPr>
          <w:jc w:val="center"/>
        </w:trPr>
        <w:tc>
          <w:tcPr>
            <w:tcW w:w="3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r:id="rId22" w:tooltip="Пакеты транспортные. Формирование с применением средств пакетирования. Общие технические требования" w:history="1">
              <w:r>
                <w:rPr>
                  <w:rStyle w:val="a3"/>
                </w:rPr>
                <w:t>ГОСТ 26663-85</w:t>
              </w:r>
            </w:hyperlink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4A9F" w:rsidRDefault="000D4A9F">
            <w:pPr>
              <w:shd w:val="clear" w:color="auto" w:fill="FFFFFF"/>
              <w:autoSpaceDE w:val="0"/>
              <w:autoSpaceDN w:val="0"/>
              <w:ind w:firstLine="284"/>
              <w:jc w:val="both"/>
              <w:rPr>
                <w:rFonts w:eastAsiaTheme="minorEastAsia"/>
              </w:rPr>
            </w:pPr>
            <w:hyperlink w:anchor="PO0000046" w:tooltip="Пункт 3.20" w:history="1">
              <w:r>
                <w:rPr>
                  <w:rStyle w:val="a3"/>
                </w:rPr>
                <w:t>3.20</w:t>
              </w:r>
            </w:hyperlink>
            <w:r>
              <w:t xml:space="preserve">; </w:t>
            </w:r>
            <w:hyperlink w:anchor="PO0000064" w:tooltip="Пункт 4.10" w:history="1">
              <w:r>
                <w:rPr>
                  <w:rStyle w:val="a3"/>
                </w:rPr>
                <w:t>4.10</w:t>
              </w:r>
            </w:hyperlink>
          </w:p>
        </w:tc>
      </w:tr>
    </w:tbl>
    <w:p w:rsidR="000D4A9F" w:rsidRDefault="000D4A9F">
      <w:pPr>
        <w:pStyle w:val="a5"/>
        <w:ind w:left="284" w:hanging="284"/>
      </w:pPr>
      <w:r>
        <w:t>5. Ограничение срока действия снято по протоколу № 2-92 Межгосударственного совета по стандартизации, метрологии и сертификации (ИУС 2-93)</w:t>
      </w:r>
    </w:p>
    <w:p w:rsidR="000D4A9F" w:rsidRDefault="000D4A9F">
      <w:pPr>
        <w:shd w:val="clear" w:color="auto" w:fill="FFFFFF"/>
        <w:spacing w:before="120"/>
        <w:ind w:left="284" w:hanging="284"/>
        <w:jc w:val="both"/>
      </w:pPr>
      <w:r>
        <w:rPr>
          <w:b/>
          <w:bCs/>
          <w:sz w:val="24"/>
          <w:szCs w:val="24"/>
        </w:rPr>
        <w:t>6. ИЗДАНИЕ (апрель 2010 г.) с Изменениями № 1, 2, 3, 4, 5, утвержденными в августе 1985 г., октябре 1986 г., июне 1988 г., октябре 1989 г., январе 1991 г. (ИУС 11-85, 1-87, 9-88, 12-89, 5-91)</w:t>
      </w:r>
    </w:p>
    <w:p w:rsidR="000D4A9F" w:rsidRDefault="000D4A9F">
      <w:pPr>
        <w:shd w:val="clear" w:color="auto" w:fill="FFFFFF"/>
        <w:spacing w:before="120" w:after="120"/>
        <w:jc w:val="center"/>
      </w:pPr>
      <w:r>
        <w:rPr>
          <w:b/>
          <w:bCs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0D4A9F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A9F" w:rsidRDefault="000D4A9F">
            <w:pPr>
              <w:pStyle w:val="11"/>
              <w:ind w:right="454"/>
              <w:jc w:val="both"/>
            </w:pPr>
            <w:hyperlink w:anchor="_Toc289363309" w:history="1">
              <w:r>
                <w:rPr>
                  <w:rStyle w:val="a3"/>
                </w:rPr>
                <w:t>1. Маркировка</w:t>
              </w:r>
              <w:r>
                <w:rPr>
                  <w:rStyle w:val="a3"/>
                  <w:vanish/>
                </w:rPr>
                <w:t>. 1</w:t>
              </w:r>
            </w:hyperlink>
          </w:p>
          <w:p w:rsidR="000D4A9F" w:rsidRDefault="000D4A9F">
            <w:pPr>
              <w:pStyle w:val="11"/>
              <w:ind w:right="454"/>
              <w:jc w:val="both"/>
            </w:pPr>
            <w:hyperlink w:anchor="_Toc289363310" w:history="1">
              <w:r>
                <w:rPr>
                  <w:rStyle w:val="a3"/>
                </w:rPr>
                <w:t>2. Упаковка</w:t>
              </w:r>
              <w:r>
                <w:rPr>
                  <w:rStyle w:val="a3"/>
                  <w:vanish/>
                </w:rPr>
                <w:t>. 2</w:t>
              </w:r>
            </w:hyperlink>
          </w:p>
          <w:p w:rsidR="000D4A9F" w:rsidRDefault="000D4A9F">
            <w:pPr>
              <w:pStyle w:val="11"/>
              <w:ind w:right="454"/>
              <w:jc w:val="both"/>
            </w:pPr>
            <w:hyperlink w:anchor="_Toc289363311" w:history="1">
              <w:r>
                <w:rPr>
                  <w:rStyle w:val="a3"/>
                </w:rPr>
                <w:t>3. Транспортирование</w:t>
              </w:r>
              <w:r>
                <w:rPr>
                  <w:rStyle w:val="a3"/>
                  <w:vanish/>
                </w:rPr>
                <w:t>. 3</w:t>
              </w:r>
            </w:hyperlink>
          </w:p>
          <w:p w:rsidR="000D4A9F" w:rsidRDefault="000D4A9F">
            <w:pPr>
              <w:pStyle w:val="11"/>
              <w:ind w:right="454"/>
              <w:jc w:val="both"/>
            </w:pPr>
            <w:hyperlink w:anchor="_Toc289363312" w:history="1">
              <w:r>
                <w:rPr>
                  <w:rStyle w:val="a3"/>
                </w:rPr>
                <w:t>4. Хранение</w:t>
              </w:r>
              <w:r>
                <w:rPr>
                  <w:rStyle w:val="a3"/>
                  <w:vanish/>
                </w:rPr>
                <w:t>. 7</w:t>
              </w:r>
            </w:hyperlink>
          </w:p>
          <w:p w:rsidR="000D4A9F" w:rsidRDefault="000D4A9F">
            <w:pPr>
              <w:pStyle w:val="11"/>
              <w:ind w:right="454"/>
              <w:jc w:val="both"/>
            </w:pPr>
            <w:hyperlink w:anchor="_Toc289363313" w:history="1">
              <w:r>
                <w:rPr>
                  <w:rStyle w:val="a3"/>
                </w:rPr>
                <w:t>5. Требования безопасности</w:t>
              </w:r>
              <w:r>
                <w:rPr>
                  <w:rStyle w:val="a3"/>
                  <w:vanish/>
                </w:rPr>
                <w:t>. 8</w:t>
              </w:r>
            </w:hyperlink>
          </w:p>
          <w:p w:rsidR="000D4A9F" w:rsidRDefault="000D4A9F">
            <w:pPr>
              <w:pStyle w:val="11"/>
              <w:ind w:right="454"/>
              <w:jc w:val="both"/>
            </w:pPr>
            <w:hyperlink w:anchor="_Toc289363314" w:history="1">
              <w:r>
                <w:rPr>
                  <w:rStyle w:val="a3"/>
                </w:rPr>
                <w:t xml:space="preserve">Приложение 1. </w:t>
              </w:r>
            </w:hyperlink>
            <w:hyperlink w:anchor="_Toc289363315" w:history="1">
              <w:r>
                <w:rPr>
                  <w:rStyle w:val="a3"/>
                </w:rPr>
                <w:t>Виды хранилищ, тары и транспортных средств для хранения и транспортирования нефти и нефтепродуктов</w:t>
              </w:r>
              <w:r>
                <w:rPr>
                  <w:rStyle w:val="a3"/>
                  <w:vanish/>
                </w:rPr>
                <w:t>. 10</w:t>
              </w:r>
            </w:hyperlink>
          </w:p>
          <w:p w:rsidR="000D4A9F" w:rsidRDefault="000D4A9F">
            <w:pPr>
              <w:pStyle w:val="11"/>
              <w:ind w:right="454"/>
              <w:jc w:val="both"/>
            </w:pPr>
            <w:hyperlink w:anchor="_Toc289363316" w:history="1">
              <w:r>
                <w:rPr>
                  <w:rStyle w:val="a3"/>
                </w:rPr>
                <w:t>Приложение 2. Порядок подготовки железнодорожных цистерн, автоцистерн и вагонов для нефтебитума к наливу нефти и нефтепродуктов</w:t>
              </w:r>
              <w:r>
                <w:rPr>
                  <w:rStyle w:val="a3"/>
                  <w:vanish/>
                </w:rPr>
                <w:t>. 16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a3"/>
                  <w:vanish/>
                </w:rPr>
                <w:t>16</w:t>
              </w:r>
            </w:hyperlink>
          </w:p>
          <w:p w:rsidR="000D4A9F" w:rsidRDefault="000D4A9F">
            <w:pPr>
              <w:pStyle w:val="31"/>
              <w:ind w:left="0" w:right="454"/>
              <w:jc w:val="both"/>
            </w:pPr>
            <w:hyperlink w:anchor="_Toc289363317" w:history="1">
              <w:r>
                <w:rPr>
                  <w:rStyle w:val="a3"/>
                </w:rPr>
                <w:t xml:space="preserve">Приложение 3. Административные районы СССР, при транспортировании в которые должны соблюдаться дополнительные условия по упаковыванию нефтепродуктов </w:t>
              </w:r>
              <w:r>
                <w:rPr>
                  <w:rStyle w:val="a3"/>
                  <w:vanish/>
                </w:rPr>
                <w:t>25</w:t>
              </w:r>
            </w:hyperlink>
          </w:p>
        </w:tc>
      </w:tr>
    </w:tbl>
    <w:p w:rsidR="000D4A9F" w:rsidRDefault="000D4A9F">
      <w:pPr>
        <w:shd w:val="clear" w:color="auto" w:fill="FFFFFF"/>
        <w:jc w:val="both"/>
        <w:rPr>
          <w:rFonts w:eastAsiaTheme="minorEastAsia"/>
          <w:sz w:val="20"/>
          <w:szCs w:val="20"/>
        </w:rPr>
      </w:pPr>
      <w:r>
        <w:rPr>
          <w:b/>
          <w:bCs/>
          <w:sz w:val="24"/>
          <w:szCs w:val="24"/>
        </w:rPr>
        <w:t> </w:t>
      </w:r>
    </w:p>
    <w:p w:rsidR="000D4A9F" w:rsidRDefault="000D4A9F" w:rsidP="000D4A9F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0192S10-11535</w:t>
      </w:r>
    </w:p>
    <w:p w:rsidR="000D4A9F" w:rsidRDefault="000D4A9F" w:rsidP="000D4A9F">
      <w:pPr>
        <w:rPr>
          <w:sz w:val="24"/>
        </w:rPr>
      </w:pPr>
    </w:p>
    <w:p w:rsidR="00225CCF" w:rsidRPr="000D4A9F" w:rsidRDefault="00225CCF" w:rsidP="000D4A9F">
      <w:pPr>
        <w:rPr>
          <w:sz w:val="24"/>
        </w:rPr>
      </w:pPr>
    </w:p>
    <w:sectPr w:rsidR="00225CCF" w:rsidRPr="000D4A9F" w:rsidSect="00AF29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1D" w:rsidRDefault="0048651D" w:rsidP="000D4A9F">
      <w:pPr>
        <w:spacing w:after="0" w:line="240" w:lineRule="auto"/>
      </w:pPr>
      <w:r>
        <w:separator/>
      </w:r>
    </w:p>
  </w:endnote>
  <w:endnote w:type="continuationSeparator" w:id="0">
    <w:p w:rsidR="0048651D" w:rsidRDefault="0048651D" w:rsidP="000D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F" w:rsidRDefault="000D4A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F" w:rsidRPr="000D4A9F" w:rsidRDefault="000D4A9F">
    <w:pPr>
      <w:pStyle w:val="ad"/>
      <w:rPr>
        <w:sz w:val="16"/>
      </w:rPr>
    </w:pPr>
    <w:r>
      <w:rPr>
        <w:sz w:val="16"/>
      </w:rPr>
      <w:t xml:space="preserve">NormaCS®  (NRMS10-11535) </w:t>
    </w:r>
    <w:r>
      <w:rPr>
        <w:sz w:val="16"/>
      </w:rPr>
      <w:tab/>
      <w:t xml:space="preserve"> www.normacs.ru </w:t>
    </w:r>
    <w:r>
      <w:rPr>
        <w:sz w:val="16"/>
      </w:rPr>
      <w:tab/>
      <w:t xml:space="preserve"> 09.02.2015 11:22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F" w:rsidRDefault="000D4A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1D" w:rsidRDefault="0048651D" w:rsidP="000D4A9F">
      <w:pPr>
        <w:spacing w:after="0" w:line="240" w:lineRule="auto"/>
      </w:pPr>
      <w:r>
        <w:separator/>
      </w:r>
    </w:p>
  </w:footnote>
  <w:footnote w:type="continuationSeparator" w:id="0">
    <w:p w:rsidR="0048651D" w:rsidRDefault="0048651D" w:rsidP="000D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F" w:rsidRDefault="000D4A9F" w:rsidP="005C1166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D4A9F" w:rsidRDefault="000D4A9F" w:rsidP="000D4A9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F" w:rsidRPr="000D4A9F" w:rsidRDefault="000D4A9F" w:rsidP="005C1166">
    <w:pPr>
      <w:pStyle w:val="ab"/>
      <w:framePr w:wrap="around" w:vAnchor="text" w:hAnchor="margin" w:xAlign="right" w:y="1"/>
      <w:rPr>
        <w:rStyle w:val="af"/>
        <w:sz w:val="16"/>
      </w:rPr>
    </w:pPr>
    <w:r>
      <w:rPr>
        <w:rStyle w:val="af"/>
        <w:sz w:val="16"/>
      </w:rPr>
      <w:t xml:space="preserve">ГОСТ 1510-84 Нефть и нефтепродукты. Маркировка, упаковка, транспортирование и хранение </w:t>
    </w:r>
    <w:r>
      <w:rPr>
        <w:rStyle w:val="af"/>
        <w:sz w:val="16"/>
      </w:rPr>
      <w:tab/>
      <w:t xml:space="preserve"> </w:t>
    </w:r>
    <w:r>
      <w:rPr>
        <w:rStyle w:val="af"/>
        <w:sz w:val="16"/>
      </w:rPr>
      <w:tab/>
      <w:t xml:space="preserve"> </w:t>
    </w:r>
    <w:r w:rsidRPr="000D4A9F">
      <w:rPr>
        <w:rStyle w:val="af"/>
        <w:sz w:val="16"/>
      </w:rPr>
      <w:fldChar w:fldCharType="begin"/>
    </w:r>
    <w:r w:rsidRPr="000D4A9F">
      <w:rPr>
        <w:rStyle w:val="af"/>
        <w:sz w:val="16"/>
      </w:rPr>
      <w:instrText xml:space="preserve">PAGE  </w:instrText>
    </w:r>
    <w:r w:rsidRPr="000D4A9F">
      <w:rPr>
        <w:rStyle w:val="af"/>
        <w:sz w:val="16"/>
      </w:rPr>
      <w:fldChar w:fldCharType="separate"/>
    </w:r>
    <w:r w:rsidR="0048651D">
      <w:rPr>
        <w:rStyle w:val="af"/>
        <w:noProof/>
        <w:sz w:val="16"/>
      </w:rPr>
      <w:t>1</w:t>
    </w:r>
    <w:r w:rsidRPr="000D4A9F">
      <w:rPr>
        <w:rStyle w:val="af"/>
        <w:sz w:val="16"/>
      </w:rPr>
      <w:fldChar w:fldCharType="end"/>
    </w:r>
  </w:p>
  <w:p w:rsidR="000D4A9F" w:rsidRPr="000D4A9F" w:rsidRDefault="000D4A9F" w:rsidP="000D4A9F">
    <w:pPr>
      <w:pStyle w:val="ab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9F" w:rsidRDefault="000D4A9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6T5"/>
    <w:docVar w:name="NcsDomain" w:val="normacs.ru"/>
    <w:docVar w:name="NcsExportTime" w:val="2015-02-09 11:22:06"/>
    <w:docVar w:name="NcsSerial" w:val="NRMS10-11535"/>
    <w:docVar w:name="NcsUrl" w:val="normacs://normacs.ru/6T5?dob=42005.000058&amp;dol=42044.473669"/>
  </w:docVars>
  <w:rsids>
    <w:rsidRoot w:val="000D4A9F"/>
    <w:rsid w:val="000D4A9F"/>
    <w:rsid w:val="00225CCF"/>
    <w:rsid w:val="0048651D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9F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4A9F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4A9F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9F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A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A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4A9F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0D4A9F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toc 5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8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toc 6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0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7">
    <w:name w:val="toc 7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2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toc 8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4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9">
    <w:name w:val="toc 9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4A9F"/>
    <w:pPr>
      <w:shd w:val="clear" w:color="auto" w:fill="FFFFFF"/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4A9F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D4A9F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D4A9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A9F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D4A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chpdefault">
    <w:name w:val="msochpdefault"/>
    <w:basedOn w:val="a"/>
    <w:rsid w:val="000D4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1"/>
    <w:basedOn w:val="a0"/>
    <w:rsid w:val="000D4A9F"/>
    <w:rPr>
      <w:rFonts w:ascii="Cambria" w:hAnsi="Cambria" w:hint="default"/>
      <w:b/>
      <w:bCs/>
      <w:color w:val="365F91"/>
    </w:rPr>
  </w:style>
  <w:style w:type="character" w:customStyle="1" w:styleId="22">
    <w:name w:val="2"/>
    <w:basedOn w:val="a0"/>
    <w:rsid w:val="000D4A9F"/>
    <w:rPr>
      <w:rFonts w:ascii="Cambria" w:hAnsi="Cambria" w:hint="default"/>
      <w:b/>
      <w:bCs/>
      <w:color w:val="4F81BD"/>
    </w:rPr>
  </w:style>
  <w:style w:type="character" w:customStyle="1" w:styleId="32">
    <w:name w:val="3"/>
    <w:basedOn w:val="a0"/>
    <w:rsid w:val="000D4A9F"/>
    <w:rPr>
      <w:rFonts w:ascii="Cambria" w:hAnsi="Cambria" w:hint="default"/>
      <w:b/>
      <w:bCs/>
      <w:color w:val="4F81BD"/>
    </w:rPr>
  </w:style>
  <w:style w:type="character" w:customStyle="1" w:styleId="a00">
    <w:name w:val="a0"/>
    <w:basedOn w:val="a0"/>
    <w:rsid w:val="000D4A9F"/>
    <w:rPr>
      <w:rFonts w:ascii="Tahoma" w:hAnsi="Tahoma" w:cs="Tahoma" w:hint="default"/>
    </w:rPr>
  </w:style>
  <w:style w:type="character" w:customStyle="1" w:styleId="a10">
    <w:name w:val="a1"/>
    <w:basedOn w:val="a0"/>
    <w:rsid w:val="000D4A9F"/>
    <w:rPr>
      <w:rFonts w:ascii="Tahoma" w:hAnsi="Tahoma" w:cs="Tahoma" w:hint="default"/>
    </w:rPr>
  </w:style>
  <w:style w:type="character" w:customStyle="1" w:styleId="msoins0">
    <w:name w:val="msoins"/>
    <w:basedOn w:val="a0"/>
    <w:rsid w:val="000D4A9F"/>
    <w:rPr>
      <w:color w:val="008080"/>
      <w:u w:val="single"/>
    </w:rPr>
  </w:style>
  <w:style w:type="character" w:customStyle="1" w:styleId="msodel0">
    <w:name w:val="msodel"/>
    <w:basedOn w:val="a0"/>
    <w:rsid w:val="000D4A9F"/>
    <w:rPr>
      <w:strike/>
      <w:color w:val="FF0000"/>
    </w:rPr>
  </w:style>
  <w:style w:type="paragraph" w:styleId="ab">
    <w:name w:val="header"/>
    <w:basedOn w:val="a"/>
    <w:link w:val="ac"/>
    <w:uiPriority w:val="99"/>
    <w:unhideWhenUsed/>
    <w:rsid w:val="000D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4A9F"/>
  </w:style>
  <w:style w:type="paragraph" w:styleId="ad">
    <w:name w:val="footer"/>
    <w:basedOn w:val="a"/>
    <w:link w:val="ae"/>
    <w:uiPriority w:val="99"/>
    <w:unhideWhenUsed/>
    <w:rsid w:val="000D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4A9F"/>
  </w:style>
  <w:style w:type="character" w:styleId="af">
    <w:name w:val="page number"/>
    <w:basedOn w:val="a0"/>
    <w:uiPriority w:val="99"/>
    <w:semiHidden/>
    <w:unhideWhenUsed/>
    <w:rsid w:val="000D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9F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4A9F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4A9F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9F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A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A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4A9F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0D4A9F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toc 5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8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toc 6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0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7">
    <w:name w:val="toc 7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2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toc 8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4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9">
    <w:name w:val="toc 9"/>
    <w:basedOn w:val="a"/>
    <w:autoRedefine/>
    <w:uiPriority w:val="39"/>
    <w:semiHidden/>
    <w:unhideWhenUsed/>
    <w:rsid w:val="000D4A9F"/>
    <w:pPr>
      <w:autoSpaceDE w:val="0"/>
      <w:autoSpaceDN w:val="0"/>
      <w:spacing w:after="0" w:line="240" w:lineRule="auto"/>
      <w:ind w:left="160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4A9F"/>
    <w:pPr>
      <w:shd w:val="clear" w:color="auto" w:fill="FFFFFF"/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4A9F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D4A9F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D4A9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A9F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D4A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chpdefault">
    <w:name w:val="msochpdefault"/>
    <w:basedOn w:val="a"/>
    <w:rsid w:val="000D4A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1"/>
    <w:basedOn w:val="a0"/>
    <w:rsid w:val="000D4A9F"/>
    <w:rPr>
      <w:rFonts w:ascii="Cambria" w:hAnsi="Cambria" w:hint="default"/>
      <w:b/>
      <w:bCs/>
      <w:color w:val="365F91"/>
    </w:rPr>
  </w:style>
  <w:style w:type="character" w:customStyle="1" w:styleId="22">
    <w:name w:val="2"/>
    <w:basedOn w:val="a0"/>
    <w:rsid w:val="000D4A9F"/>
    <w:rPr>
      <w:rFonts w:ascii="Cambria" w:hAnsi="Cambria" w:hint="default"/>
      <w:b/>
      <w:bCs/>
      <w:color w:val="4F81BD"/>
    </w:rPr>
  </w:style>
  <w:style w:type="character" w:customStyle="1" w:styleId="32">
    <w:name w:val="3"/>
    <w:basedOn w:val="a0"/>
    <w:rsid w:val="000D4A9F"/>
    <w:rPr>
      <w:rFonts w:ascii="Cambria" w:hAnsi="Cambria" w:hint="default"/>
      <w:b/>
      <w:bCs/>
      <w:color w:val="4F81BD"/>
    </w:rPr>
  </w:style>
  <w:style w:type="character" w:customStyle="1" w:styleId="a00">
    <w:name w:val="a0"/>
    <w:basedOn w:val="a0"/>
    <w:rsid w:val="000D4A9F"/>
    <w:rPr>
      <w:rFonts w:ascii="Tahoma" w:hAnsi="Tahoma" w:cs="Tahoma" w:hint="default"/>
    </w:rPr>
  </w:style>
  <w:style w:type="character" w:customStyle="1" w:styleId="a10">
    <w:name w:val="a1"/>
    <w:basedOn w:val="a0"/>
    <w:rsid w:val="000D4A9F"/>
    <w:rPr>
      <w:rFonts w:ascii="Tahoma" w:hAnsi="Tahoma" w:cs="Tahoma" w:hint="default"/>
    </w:rPr>
  </w:style>
  <w:style w:type="character" w:customStyle="1" w:styleId="msoins0">
    <w:name w:val="msoins"/>
    <w:basedOn w:val="a0"/>
    <w:rsid w:val="000D4A9F"/>
    <w:rPr>
      <w:color w:val="008080"/>
      <w:u w:val="single"/>
    </w:rPr>
  </w:style>
  <w:style w:type="character" w:customStyle="1" w:styleId="msodel0">
    <w:name w:val="msodel"/>
    <w:basedOn w:val="a0"/>
    <w:rsid w:val="000D4A9F"/>
    <w:rPr>
      <w:strike/>
      <w:color w:val="FF0000"/>
    </w:rPr>
  </w:style>
  <w:style w:type="paragraph" w:styleId="ab">
    <w:name w:val="header"/>
    <w:basedOn w:val="a"/>
    <w:link w:val="ac"/>
    <w:uiPriority w:val="99"/>
    <w:unhideWhenUsed/>
    <w:rsid w:val="000D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4A9F"/>
  </w:style>
  <w:style w:type="paragraph" w:styleId="ad">
    <w:name w:val="footer"/>
    <w:basedOn w:val="a"/>
    <w:link w:val="ae"/>
    <w:uiPriority w:val="99"/>
    <w:unhideWhenUsed/>
    <w:rsid w:val="000D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4A9F"/>
  </w:style>
  <w:style w:type="character" w:styleId="af">
    <w:name w:val="page number"/>
    <w:basedOn w:val="a0"/>
    <w:uiPriority w:val="99"/>
    <w:semiHidden/>
    <w:unhideWhenUsed/>
    <w:rsid w:val="000D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ILIN-~1\AppData\Local\Temp\ns\FC0F.files\image001.jpg" TargetMode="External"/><Relationship Id="rId13" Type="http://schemas.openxmlformats.org/officeDocument/2006/relationships/hyperlink" Target="normacs://normacs.ru/PFA?dob=42005.000058&amp;dol=42044.473657" TargetMode="External"/><Relationship Id="rId18" Type="http://schemas.openxmlformats.org/officeDocument/2006/relationships/hyperlink" Target="normacs://normacs.ru/54B?dob=42005.000058&amp;dol=42044.473657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normacs://normacs.ru/QPO?dob=42005.000058&amp;dol=42044.473657" TargetMode="External"/><Relationship Id="rId7" Type="http://schemas.openxmlformats.org/officeDocument/2006/relationships/image" Target="media/image1.jpg"/><Relationship Id="rId12" Type="http://schemas.openxmlformats.org/officeDocument/2006/relationships/hyperlink" Target="normacs://normacs.ru/3EE?dob=42005.000058&amp;dol=42044.473657" TargetMode="External"/><Relationship Id="rId17" Type="http://schemas.openxmlformats.org/officeDocument/2006/relationships/hyperlink" Target="normacs://normacs.ru/PFA?dob=42005.000058&amp;dol=42044.473657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normacs://normacs.ru/645?dob=42005.000058&amp;dol=42044.473657" TargetMode="External"/><Relationship Id="rId20" Type="http://schemas.openxmlformats.org/officeDocument/2006/relationships/hyperlink" Target="normacs://normacs.ru/L4S?dob=42005.000058&amp;dol=42044.47365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ormacs://normacs.ru/64I?dob=42005.000058&amp;dol=42044.47365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normacs://normacs.ru/3EN?dob=42005.000058&amp;dol=42044.47365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normacs://normacs.ru/QPO?dob=42005.000058&amp;dol=42044.473657" TargetMode="External"/><Relationship Id="rId19" Type="http://schemas.openxmlformats.org/officeDocument/2006/relationships/hyperlink" Target="normacs://normacs.ru/15K4?dob=42005.000058&amp;dol=42044.473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L4S?dob=42005.000058&amp;dol=42044.473657" TargetMode="External"/><Relationship Id="rId14" Type="http://schemas.openxmlformats.org/officeDocument/2006/relationships/hyperlink" Target="normacs://normacs.ru/3EE?dob=42005.000058&amp;dol=42044.473657" TargetMode="External"/><Relationship Id="rId22" Type="http://schemas.openxmlformats.org/officeDocument/2006/relationships/hyperlink" Target="normacs://normacs.ru/64I?dob=42005.000058&amp;dol=42044.473657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7855</Words>
  <Characters>44774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ГОСТ 1510-84 Нефть и нефтепродукты. Маркировка, упаковка, транспортирование и хранение</vt:lpstr>
      <vt:lpstr>1. МАРКИРОВКА</vt:lpstr>
      <vt:lpstr>2. УПАКОВКА</vt:lpstr>
      <vt:lpstr>3. ТРАНСПОРТИРОВАНИЕ</vt:lpstr>
      <vt:lpstr>4. ХРАНЕНИЕ</vt:lpstr>
      <vt:lpstr>5. ТРЕБОВАНИЯ БЕЗОПАСНОСТИ</vt:lpstr>
      <vt:lpstr>ПРИЛОЖЕНИЕ 1</vt:lpstr>
      <vt:lpstr>ПРИЛОЖЕНИЕ 2</vt:lpstr>
      <vt:lpstr>ПРИЛОЖЕНИЕ 3</vt:lpstr>
    </vt:vector>
  </TitlesOfParts>
  <Company>Microsoft Corporation</Company>
  <LinksUpToDate>false</LinksUpToDate>
  <CharactersWithSpaces>52524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1510-84 Нефть и нефтепродукты. Маркировка, упаковка, транспортирование и хранение</dc:title>
  <dc:creator>Филин Сергей Александрович</dc:creator>
  <cp:lastModifiedBy>Филин Сергей Александрович</cp:lastModifiedBy>
  <cp:revision>1</cp:revision>
  <dcterms:created xsi:type="dcterms:W3CDTF">2015-02-09T08:22:00Z</dcterms:created>
  <dcterms:modified xsi:type="dcterms:W3CDTF">2015-02-09T08:22:00Z</dcterms:modified>
</cp:coreProperties>
</file>