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414D">
      <w:pPr>
        <w:ind w:firstLine="720"/>
        <w:jc w:val="both"/>
      </w:pPr>
      <w:hyperlink r:id="rId4" w:history="1">
        <w:r>
          <w:rPr>
            <w:rStyle w:val="a4"/>
            <w:b/>
            <w:bCs/>
          </w:rPr>
          <w:t>Бюджетное учреждение находится в нежилом помещении многоквартирного дома. При заключении договора на долевое участие по содержанию общего имущества многоквартирного дома с владельцем (ТСЖ) были включены расходы на освещение обществен</w:t>
        </w:r>
        <w:r>
          <w:rPr>
            <w:rStyle w:val="a4"/>
            <w:b/>
            <w:bCs/>
          </w:rPr>
          <w:t>ных мест (общедомовую электроэнергию). Но на оплату ТСЖ предъявляет отдельные счета на электроэнергию. Как правильно? Нужно ли заключать отдельный договор на оплату расходов по освещению общественных мест пользования электроэнергией?</w:t>
        </w:r>
      </w:hyperlink>
    </w:p>
    <w:p w:rsidR="00000000" w:rsidRDefault="00E4414D">
      <w:pPr>
        <w:ind w:firstLine="720"/>
        <w:jc w:val="both"/>
      </w:pPr>
    </w:p>
    <w:p w:rsidR="00000000" w:rsidRDefault="00E4414D">
      <w:pPr>
        <w:ind w:firstLine="720"/>
        <w:jc w:val="both"/>
      </w:pPr>
      <w:bookmarkStart w:id="0" w:name="_GoBack"/>
      <w:r>
        <w:t>В настоящее время, в соответствии с действующим законодательством, ситуацию можно трактовать следующим образом: в любом многоквартирном доме (МКД) есть общественные места, содержание которых ложится на собственников помещений и считается общедомовыми расхо</w:t>
      </w:r>
      <w:r>
        <w:t xml:space="preserve">дами. В соответствии со </w:t>
      </w:r>
      <w:hyperlink r:id="rId5" w:history="1">
        <w:r>
          <w:rPr>
            <w:rStyle w:val="a4"/>
          </w:rPr>
          <w:t>статьями 210</w:t>
        </w:r>
      </w:hyperlink>
      <w:r>
        <w:t xml:space="preserve">, </w:t>
      </w:r>
      <w:hyperlink r:id="rId6" w:history="1">
        <w:r>
          <w:rPr>
            <w:rStyle w:val="a4"/>
          </w:rPr>
          <w:t>249</w:t>
        </w:r>
      </w:hyperlink>
      <w:r>
        <w:t xml:space="preserve"> Гражданского кодекса, </w:t>
      </w:r>
      <w:hyperlink r:id="rId7" w:history="1">
        <w:r>
          <w:rPr>
            <w:rStyle w:val="a4"/>
          </w:rPr>
          <w:t>статьями 39</w:t>
        </w:r>
      </w:hyperlink>
      <w:r>
        <w:t xml:space="preserve">, </w:t>
      </w:r>
      <w:hyperlink r:id="rId8" w:history="1">
        <w:r>
          <w:rPr>
            <w:rStyle w:val="a4"/>
          </w:rPr>
          <w:t>158</w:t>
        </w:r>
      </w:hyperlink>
      <w:r>
        <w:t xml:space="preserve"> Жилищного кодекса и </w:t>
      </w:r>
      <w:hyperlink r:id="rId9" w:history="1">
        <w:r>
          <w:rPr>
            <w:rStyle w:val="a4"/>
          </w:rPr>
          <w:t>пунктом 28</w:t>
        </w:r>
      </w:hyperlink>
      <w:r>
        <w:t xml:space="preserve"> Правил содержания общего имущества в многоквартирном до</w:t>
      </w:r>
      <w:r>
        <w:t xml:space="preserve">ме,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РФ от 13 августа 2006 г. N 491 (далее - Правила), собственники помещений обязаны нести бремя расходов на содержание общего имущества соразмерно</w:t>
      </w:r>
      <w:r>
        <w:t xml:space="preserve"> своим долям в праве общей собственности на это имущество. В </w:t>
      </w:r>
      <w:hyperlink r:id="rId11" w:history="1">
        <w:r>
          <w:rPr>
            <w:rStyle w:val="a4"/>
          </w:rPr>
          <w:t>пункте 11</w:t>
        </w:r>
      </w:hyperlink>
      <w:r>
        <w:t xml:space="preserve"> Правил указан перечень того, что входит в содержание общего имущества в зависимости от состава, конструктивных особ</w:t>
      </w:r>
      <w:r>
        <w:t>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дома.</w:t>
      </w:r>
      <w:bookmarkEnd w:id="0"/>
      <w:r>
        <w:t xml:space="preserve"> Электроснабжение помещений общего пользования в указанный список не </w:t>
      </w:r>
      <w:r>
        <w:t>входит.</w:t>
      </w:r>
    </w:p>
    <w:p w:rsidR="00000000" w:rsidRDefault="00E4414D">
      <w:pPr>
        <w:ind w:firstLine="720"/>
        <w:jc w:val="both"/>
      </w:pPr>
      <w:r>
        <w:t>В рассматриваемой ситуации, если заключен договор на долевое участие по содержанию общего имущества с включением расходов на освещение общественных мест, то должны выставляться счета согласно предмету договора - содержание общего имущества с отраже</w:t>
      </w:r>
      <w:r>
        <w:t xml:space="preserve">нием расходов по </w:t>
      </w:r>
      <w:hyperlink r:id="rId12" w:history="1">
        <w:r>
          <w:rPr>
            <w:rStyle w:val="a4"/>
          </w:rPr>
          <w:t>подстатье 225</w:t>
        </w:r>
      </w:hyperlink>
      <w:r>
        <w:t xml:space="preserve"> "Работы, услуги по содержанию имущества" КОСГУ. Если заключать отдельный договор на оплату расходов по освещению общественных мест пользования электроэне</w:t>
      </w:r>
      <w:r>
        <w:t xml:space="preserve">ргией, то оплата будет производиться по </w:t>
      </w:r>
      <w:hyperlink r:id="rId13" w:history="1">
        <w:r>
          <w:rPr>
            <w:rStyle w:val="a4"/>
          </w:rPr>
          <w:t>подстатье 223</w:t>
        </w:r>
      </w:hyperlink>
      <w:r>
        <w:t xml:space="preserve"> "Коммунальные услуги" КОСГУ.</w:t>
      </w:r>
    </w:p>
    <w:p w:rsidR="00000000" w:rsidRDefault="00E4414D">
      <w:pPr>
        <w:ind w:firstLine="720"/>
        <w:jc w:val="both"/>
      </w:pPr>
    </w:p>
    <w:p w:rsidR="00000000" w:rsidRDefault="00E4414D">
      <w:pPr>
        <w:ind w:firstLine="698"/>
        <w:jc w:val="right"/>
      </w:pPr>
      <w:r>
        <w:t>Л.Ю. Симонова,</w:t>
      </w:r>
    </w:p>
    <w:p w:rsidR="00000000" w:rsidRDefault="00E4414D">
      <w:pPr>
        <w:ind w:firstLine="698"/>
        <w:jc w:val="right"/>
      </w:pPr>
      <w:r>
        <w:t>редактор-эксперт журнала "Бюджетный учет"</w:t>
      </w:r>
    </w:p>
    <w:p w:rsidR="00000000" w:rsidRDefault="00E4414D">
      <w:pPr>
        <w:ind w:firstLine="720"/>
        <w:jc w:val="both"/>
      </w:pPr>
    </w:p>
    <w:p w:rsidR="00000000" w:rsidRDefault="00E4414D">
      <w:pPr>
        <w:ind w:firstLine="720"/>
        <w:jc w:val="both"/>
      </w:pPr>
      <w:r>
        <w:t>1 июня 2012 г.</w:t>
      </w:r>
    </w:p>
    <w:p w:rsidR="00000000" w:rsidRDefault="00E4414D">
      <w:pPr>
        <w:ind w:firstLine="720"/>
        <w:jc w:val="both"/>
      </w:pPr>
    </w:p>
    <w:p w:rsidR="00000000" w:rsidRDefault="00E4414D">
      <w:pPr>
        <w:ind w:firstLine="720"/>
        <w:jc w:val="both"/>
      </w:pPr>
      <w:r>
        <w:t>"Бюджетный учет", N 6, июн</w:t>
      </w:r>
      <w:r>
        <w:t>ь 2012 г.</w:t>
      </w:r>
    </w:p>
    <w:p w:rsidR="00E4414D" w:rsidRDefault="00E4414D">
      <w:pPr>
        <w:ind w:firstLine="720"/>
        <w:jc w:val="both"/>
      </w:pPr>
    </w:p>
    <w:sectPr w:rsidR="00E4414D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139"/>
    <w:rsid w:val="00E4414D"/>
    <w:rsid w:val="00E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b w:val="0"/>
      <w:bCs w:val="0"/>
      <w:color w:val="0058A9"/>
    </w:rPr>
  </w:style>
  <w:style w:type="character" w:customStyle="1" w:styleId="aa">
    <w:name w:val="Выделение для Базового Поиска (курсив)"/>
    <w:uiPriority w:val="99"/>
    <w:rPr>
      <w:b w:val="0"/>
      <w:bCs w:val="0"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Pr>
      <w:b w:val="0"/>
      <w:bCs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b w:val="0"/>
      <w:bCs w:val="0"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mipcnet.org/document?id=12038291&amp;sub=158" TargetMode="External"/><Relationship Id="rId13" Type="http://schemas.openxmlformats.org/officeDocument/2006/relationships/hyperlink" Target="http://garant.mipcnet.org/document?id=70009900&amp;sub=105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.mipcnet.org/document?id=12038291&amp;sub=39" TargetMode="External"/><Relationship Id="rId12" Type="http://schemas.openxmlformats.org/officeDocument/2006/relationships/hyperlink" Target="http://garant.mipcnet.org/document?id=70009900&amp;sub=105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.mipcnet.org/document?id=10064072&amp;sub=249" TargetMode="External"/><Relationship Id="rId11" Type="http://schemas.openxmlformats.org/officeDocument/2006/relationships/hyperlink" Target="http://garant.mipcnet.org/document?id=12048944&amp;sub=1011" TargetMode="External"/><Relationship Id="rId5" Type="http://schemas.openxmlformats.org/officeDocument/2006/relationships/hyperlink" Target="http://garant.mipcnet.org/document?id=10064072&amp;sub=2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arant.mipcnet.org/document?id=12048944&amp;sub=0" TargetMode="External"/><Relationship Id="rId4" Type="http://schemas.openxmlformats.org/officeDocument/2006/relationships/hyperlink" Target="http://garant.mipcnet.org/document?id=57754125&amp;sub=0" TargetMode="External"/><Relationship Id="rId9" Type="http://schemas.openxmlformats.org/officeDocument/2006/relationships/hyperlink" Target="http://garant.mipcnet.org/document?id=12048944&amp;sub=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Филин Сергей Александрович</cp:lastModifiedBy>
  <cp:revision>2</cp:revision>
  <dcterms:created xsi:type="dcterms:W3CDTF">2013-10-28T07:56:00Z</dcterms:created>
  <dcterms:modified xsi:type="dcterms:W3CDTF">2013-10-28T07:56:00Z</dcterms:modified>
</cp:coreProperties>
</file>