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344pt;margin-top:0pt;width:611.7pt;height:792pt;mso-position-horizontal-relative:page;mso-position-vertical-relative:page;z-index:-16156160" coordorigin="7,0" coordsize="12234,15840">
            <v:shape style="position:absolute;left:6;top:0;width:12234;height:6268" type="#_x0000_t75" stroked="false">
              <v:imagedata r:id="rId5" o:title=""/>
            </v:shape>
            <v:rect style="position:absolute;left:6;top:6587;width:12234;height:9253" filled="true" fillcolor="#2ea836" stroked="false">
              <v:fill type="solid"/>
            </v:rect>
            <v:shape style="position:absolute;left:7667;top:14233;width:492;height:251" type="#_x0000_t75" stroked="false">
              <v:imagedata r:id="rId6" o:title=""/>
            </v:shape>
            <v:shape style="position:absolute;left:8262;top:14203;width:439;height:281" coordorigin="8262,14204" coordsize="439,281" path="m8287,14234l8262,14234,8262,14484,8287,14484,8287,14234xm8700,14204l8674,14204,8674,14356,8679,14363,8696,14363,8700,14355,8700,14204xe" filled="true" fillcolor="#ffffff" stroked="false">
              <v:path arrowok="t"/>
              <v:fill type="solid"/>
            </v:shape>
            <v:shape style="position:absolute;left:8321;top:14300;width:150;height:184" type="#_x0000_t75" stroked="false">
              <v:imagedata r:id="rId7" o:title=""/>
            </v:shape>
            <v:shape style="position:absolute;left:8558;top:14176;width:2601;height:311" coordorigin="8558,14176" coordsize="2601,311" path="m8820,14357l8812,14314,8792,14277,8762,14248,8724,14231,8724,14256,8753,14271,8775,14294,8790,14323,8796,14357,8787,14398,8764,14432,8731,14455,8689,14463,8648,14455,8614,14432,8591,14398,8582,14357,8588,14324,8602,14295,8624,14272,8652,14257,8652,14231,8615,14249,8585,14278,8565,14314,8558,14357,8569,14407,8597,14449,8638,14477,8689,14487,8740,14477,8781,14449,8809,14407,8820,14357xm8996,14366l8995,14357,8994,14345,8989,14332,8981,14320,8974,14313,8963,14307,8949,14303,8931,14301,8908,14304,8891,14311,8879,14320,8870,14330,8870,14306,8866,14303,8863,14301,8861,14301,8847,14301,8847,14484,8861,14484,8863,14484,8866,14482,8870,14478,8870,14385,8871,14371,8873,14359,8876,14350,8881,14341,8889,14333,8908,14322,8918,14319,8929,14319,8940,14320,8950,14324,8958,14329,8965,14336,8972,14345,8973,14358,8973,14478,8976,14482,8979,14484,8981,14484,8996,14484,8996,14366xm9688,14393l9664,14334,9611,14302,9559,14282,9535,14256,9538,14246,9547,14238,9561,14233,9579,14231,9599,14233,9620,14238,9645,14246,9674,14258,9674,14200,9647,14189,9622,14182,9597,14178,9572,14176,9525,14183,9489,14200,9466,14227,9458,14263,9482,14323,9534,14354,9587,14374,9611,14401,9608,14413,9600,14422,9586,14427,9567,14429,9543,14427,9519,14421,9493,14409,9464,14390,9464,14455,9486,14466,9510,14475,9537,14482,9572,14484,9619,14478,9655,14460,9679,14432,9688,14393xm9889,14425l9870,14431,9856,14436,9843,14438,9832,14439,9807,14434,9788,14422,9775,14403,9771,14379,9775,14355,9788,14336,9808,14324,9834,14320,9846,14321,9860,14324,9873,14328,9886,14334,9886,14286,9869,14281,9852,14277,9834,14274,9818,14273,9771,14281,9735,14303,9711,14337,9703,14379,9711,14422,9735,14455,9772,14477,9820,14484,9837,14483,9853,14481,9871,14477,9889,14470,9889,14425xm10590,14390l10586,14356,10584,14340,10566,14311,10561,14304,10534,14286,10534,14356,10446,14356,10450,14337,10450,14337,10459,14323,10473,14314,10490,14311,10507,14315,10520,14323,10529,14337,10534,14356,10534,14286,10527,14281,10486,14273,10442,14281,10408,14303,10386,14337,10378,14380,10387,14423,10410,14456,10448,14477,10496,14484,10512,14484,10534,14481,10559,14473,10587,14457,10587,14446,10587,14417,10566,14431,10548,14440,10530,14445,10512,14446,10484,14442,10464,14431,10450,14413,10444,14390,10590,14390xm10679,14277l10615,14277,10615,14480,10679,14480,10679,14277xm10920,14180l10856,14180,10856,14286,10856,14328,10856,14425,10847,14433,10837,14438,10828,14441,10818,14442,10798,14437,10783,14425,10773,14405,10769,14380,10773,14353,10783,14333,10799,14320,10820,14316,10832,14316,10847,14321,10856,14328,10856,14286,10843,14281,10830,14277,10817,14274,10803,14273,10763,14281,10732,14303,10712,14336,10705,14379,10712,14421,10732,14454,10762,14476,10800,14484,10815,14483,10829,14480,10843,14473,10856,14464,10856,14480,10920,14480,10920,14464,10920,14442,10920,14316,10920,14286,10920,14180xm11159,14390l11154,14356,11152,14340,11135,14311,11130,14304,11103,14286,11103,14356,11015,14356,11019,14337,11019,14337,11028,14323,11041,14314,11059,14311,11076,14315,11089,14323,11098,14337,11103,14356,11103,14286,11096,14281,11054,14273,11011,14281,10977,14303,10955,14337,10947,14380,10955,14423,10979,14456,11016,14477,11065,14484,11081,14484,11102,14481,11128,14473,11156,14457,11156,14446,11156,14417,11135,14431,11116,14440,11099,14445,11080,14446,11053,14442,11033,14431,11019,14413,11013,14390,11159,14390xe" filled="true" fillcolor="#ffffff" stroked="false">
              <v:path arrowok="t"/>
              <v:fill type="solid"/>
            </v:shape>
            <v:shape style="position:absolute;left:11190;top:14273;width:172;height:208" type="#_x0000_t75" stroked="false">
              <v:imagedata r:id="rId8" o:title=""/>
            </v:shape>
            <v:shape style="position:absolute;left:9915;top:14177;width:768;height:303" coordorigin="9915,14177" coordsize="768,303" path="m10119,14351l10112,14316,10095,14292,10072,14278,10044,14273,10026,14275,10010,14282,9994,14292,9980,14307,9979,14307,9979,14180,9915,14180,9915,14480,9979,14480,9979,14351,9990,14337,10001,14328,10011,14322,10022,14320,10035,14323,10046,14331,10053,14345,10055,14365,10055,14436,10071,14429,10087,14423,10103,14419,10119,14416,10119,14351xm10353,14351l10346,14314,10328,14290,10304,14277,10279,14273,10261,14275,10244,14281,10228,14291,10213,14306,10213,14277,10149,14277,10149,14415,10166,14418,10184,14424,10200,14433,10213,14444,10213,14349,10225,14334,10235,14323,10246,14318,10257,14316,10270,14318,10280,14325,10287,14338,10289,14356,10289,14480,10353,14480,10353,14351xm10683,14204l10682,14192,10675,14182,10664,14177,10651,14178,10636,14184,10623,14194,10615,14206,10611,14220,10612,14233,10619,14242,10630,14247,10643,14246,10658,14241,10670,14230,10679,14218,10683,14204xe" filled="true" fillcolor="#ffffff" stroked="false">
              <v:path arrowok="t"/>
              <v:fill type="solid"/>
            </v:shape>
            <v:shape style="position:absolute;left:10289;top:14515;width:102;height:175" type="#_x0000_t75" stroked="false">
              <v:imagedata r:id="rId9" o:title=""/>
            </v:shape>
            <v:rect style="position:absolute;left:10448;top:14515;width:23;height:176" filled="true" fillcolor="#ffffff" stroked="false">
              <v:fill type="solid"/>
            </v:rect>
            <v:shape style="position:absolute;left:10529;top:14573;width:104;height:120" type="#_x0000_t75" stroked="false">
              <v:imagedata r:id="rId10" o:title=""/>
            </v:shape>
            <v:shape style="position:absolute;left:9220;top:13982;width:2085;height:765" coordorigin="9221,13983" coordsize="2085,765" path="m9234,13983l9221,13983,9221,14747,9234,14747,9234,13983xm10224,14539l10221,14514,10219,14507,10214,14492,10200,14473,10182,14464,10182,14507,10174,14543,10133,14543,10131,14544,10129,14546,10129,14547,10128,14549,10108,14626,10099,14646,10082,14663,10057,14675,10026,14680,9966,14680,9977,14640,10019,14640,10022,14639,10025,14636,10026,14635,10027,14633,10027,14631,10043,14564,10051,14543,10067,14525,10091,14512,10120,14507,10182,14507,10182,14464,10159,14451,10106,14450,10048,14470,9993,14510,9985,14518,9978,14527,9971,14535,9965,14543,10002,14543,9994,14568,9948,14568,9944,14576,9940,14584,9937,14592,9991,14592,9982,14617,9929,14617,9925,14645,9927,14671,9935,14695,9949,14714,9990,14736,10042,14736,10100,14716,10149,14680,10155,14676,10164,14667,10172,14658,10179,14649,10186,14639,10138,14639,10145,14614,10202,14614,10206,14606,10210,14598,10213,14590,10151,14590,10158,14565,10220,14565,10224,14539xm10785,14664l10773,14669,10764,14672,10754,14672,10738,14669,10726,14661,10718,14649,10715,14633,10718,14617,10725,14605,10736,14597,10750,14594,10760,14594,10769,14597,10782,14606,10782,14581,10771,14576,10762,14573,10749,14573,10725,14578,10707,14590,10696,14610,10692,14635,10696,14659,10708,14677,10727,14689,10750,14693,10762,14693,10777,14690,10785,14686,10785,14664xm10928,14664l10919,14670,10910,14672,10895,14672,10886,14669,10886,14596,10922,14596,10922,14575,10886,14575,10886,14552,10843,14593,10843,14596,10863,14596,10863,14657,10865,14671,10872,14683,10884,14690,10900,14693,10908,14693,10920,14690,10928,14685,10928,14664xm11070,14586l11061,14577,11052,14573,11043,14573,11035,14575,11026,14580,11018,14589,11009,14602,11009,14602,11009,14575,10986,14575,10986,14691,11009,14691,11009,14631,11011,14617,11017,14605,11026,14598,11037,14595,11042,14595,11051,14600,11058,14607,11070,14586xm11153,14575l11130,14575,11130,14691,11153,14691,11153,14575xm11156,14539l11152,14528,11144,14527,11131,14535,11127,14543,11131,14554,11138,14555,11152,14547,11156,14539xm11306,14664l11294,14669,11285,14672,11275,14672,11259,14669,11247,14661,11239,14649,11236,14633,11239,14617,11246,14605,11257,14597,11271,14594,11281,14594,11290,14597,11303,14606,11303,14581,11292,14576,11283,14573,11270,14573,11246,14578,11228,14590,11217,14610,11213,14635,11217,14659,11229,14677,11247,14689,11271,14693,11283,14693,11298,14690,11306,14686,11306,14664xe" filled="true" fillcolor="#ffffff" stroked="false">
              <v:path arrowok="t"/>
              <v:fill type="solid"/>
            </v:shape>
            <v:rect style="position:absolute;left:6;top:5680;width:12234;height:908" filled="true" fillcolor="#2ea836" stroked="false">
              <v:fill opacity="52428f" type="solid"/>
            </v:rect>
            <v:shape style="position:absolute;left:724;top:4932;width:5077;height:3551" type="#_x0000_t75" stroked="false">
              <v:imagedata r:id="rId11" o:title=""/>
            </v:shape>
            <v:shape style="position:absolute;left:888;top:12294;width:3104;height:402" coordorigin="888,12294" coordsize="3104,402" path="m3825,12294l1059,12294,1059,12295,992,12312,938,12355,901,12418,888,12495,901,12572,938,12635,992,12678,1059,12695,1059,12696,3825,12696,3825,12695,3890,12677,3943,12634,3979,12571,3992,12495,3979,12419,3943,12356,3890,12313,3825,12295,3825,1229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Title"/>
      </w:pPr>
      <w:r>
        <w:rPr>
          <w:color w:val="FFFFFF"/>
          <w:w w:val="105"/>
        </w:rPr>
        <w:t>Ул.</w:t>
      </w:r>
      <w:r>
        <w:rPr>
          <w:color w:val="FFFFFF"/>
        </w:rPr>
        <w:t>uxureWareTM Data Center Expert</w:t>
      </w:r>
    </w:p>
    <w:p>
      <w:pPr>
        <w:spacing w:before="133"/>
        <w:ind w:left="896" w:right="0" w:firstLine="0"/>
        <w:jc w:val="left"/>
        <w:rPr>
          <w:b/>
          <w:sz w:val="36"/>
        </w:rPr>
      </w:pPr>
      <w:r>
        <w:rPr>
          <w:b/>
          <w:color w:val="FFFFFF"/>
          <w:w w:val="105"/>
          <w:sz w:val="36"/>
        </w:rPr>
        <w:t>Программное обеспечение для управления инфраструктурой центра обработки данных (DCIM)</w:t>
      </w:r>
    </w:p>
    <w:p>
      <w:pPr>
        <w:spacing w:line="292" w:lineRule="auto" w:before="246"/>
        <w:ind w:left="896" w:right="4145" w:firstLine="0"/>
        <w:jc w:val="left"/>
        <w:rPr>
          <w:b/>
          <w:sz w:val="20"/>
        </w:rPr>
      </w:pPr>
      <w:r>
        <w:rPr>
          <w:b/>
          <w:color w:val="FFFFFF"/>
          <w:w w:val="105"/>
          <w:sz w:val="20"/>
        </w:rPr>
        <w:t>Программное обеспечение для непрерывного управления инфраструктурой центра обработки данных для мониторинга и контроля энергопотребления, охлаждения, безопасности и энергопотребления от здания через ИТ-системы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100"/>
        <w:ind w:left="1053" w:right="0" w:firstLine="0"/>
        <w:jc w:val="left"/>
        <w:rPr>
          <w:sz w:val="18"/>
        </w:rPr>
      </w:pPr>
      <w:hyperlink r:id="rId12">
        <w:r>
          <w:rPr>
            <w:color w:val="2CB34A"/>
            <w:w w:val="105"/>
            <w:sz w:val="18"/>
          </w:rPr>
          <w:t>www.schneider-electric.com/dcim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982"/>
        <w:rPr>
          <w:sz w:val="20"/>
        </w:rPr>
      </w:pPr>
      <w:r>
        <w:rPr>
          <w:sz w:val="20"/>
        </w:rPr>
        <w:drawing>
          <wp:inline distT="0" distB="0" distL="0" distR="0">
            <wp:extent cx="659975" cy="902207"/>
            <wp:effectExtent l="0" t="0" r="0" b="0"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75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Heading3"/>
        <w:spacing w:line="247" w:lineRule="auto" w:before="102"/>
        <w:ind w:right="6414"/>
      </w:pPr>
      <w:r>
        <w:rPr/>
        <w:pict>
          <v:group style="position:absolute;margin-left:304.503998pt;margin-top:-83.466827pt;width:270.8pt;height:193.35pt;mso-position-horizontal-relative:page;mso-position-vertical-relative:paragraph;z-index:15729152" coordorigin="6090,-1669" coordsize="5416,3867">
            <v:shape style="position:absolute;left:6586;top:-1477;width:4434;height:2745" type="#_x0000_t75" stroked="false">
              <v:imagedata r:id="rId15" o:title=""/>
            </v:shape>
            <v:rect style="position:absolute;left:6566;top:-1496;width:4472;height:2783" filled="false" stroked="true" strokeweight="1.897845pt" strokecolor="#585858">
              <v:stroke dashstyle="solid"/>
            </v:rect>
            <v:shape style="position:absolute;left:6090;top:-1670;width:5416;height:3867" type="#_x0000_t75" stroked="false">
              <v:imagedata r:id="rId16" o:title=""/>
            </v:shape>
            <w10:wrap type="none"/>
          </v:group>
        </w:pict>
      </w:r>
      <w:r>
        <w:rPr>
          <w:color w:val="4D555B"/>
        </w:rPr>
        <w:t>Мгновенное уведомление об ошибках и их эскалация позволяют быстро разрешать критические события инфраструктуры.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47" w:lineRule="auto"/>
        <w:ind w:left="709" w:right="6414"/>
      </w:pPr>
      <w:r>
        <w:rPr>
          <w:color w:val="4D555B"/>
          <w:w w:val="105"/>
        </w:rPr>
        <w:t>Независимо от того, расположены ли они в центре обработки данных, удаленном офисе или в кампусе, Data Center Expert и устройства Schneider Electric для обеспечения питания, охлаждения, защиты окружающей среды и безопасности объединяются, чтобы обеспечить комплексное централизованное решение для мониторинга.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3"/>
          <w:pgSz w:w="12240" w:h="15840"/>
          <w:pgMar w:header="368" w:footer="0" w:top="560" w:bottom="280" w:left="0" w:right="0"/>
          <w:pgNumType w:start="2"/>
        </w:sectPr>
      </w:pPr>
    </w:p>
    <w:p>
      <w:pPr>
        <w:pStyle w:val="BodyText"/>
        <w:spacing w:line="247" w:lineRule="auto" w:before="158"/>
        <w:ind w:left="709"/>
      </w:pPr>
      <w:r>
        <w:rPr>
          <w:color w:val="4D555B"/>
          <w:w w:val="105"/>
        </w:rPr>
        <w:t>Благодаря показаниям электропитания Data Center Expert, показаниям окружающей среды и изображениям с камер с любого сайта в вашей сети они объединяются в общую платформу управления. Изображения и предупреждения со всей компании можно мгновенно просматривать и управлять ими, анализировать тенденции и предотвращать проблемы, обеспечивая беспрецедентное управление физическими угрозами.</w:t>
      </w:r>
    </w:p>
    <w:p>
      <w:pPr>
        <w:pStyle w:val="BodyText"/>
        <w:rPr>
          <w:sz w:val="32"/>
        </w:rPr>
      </w:pPr>
    </w:p>
    <w:p>
      <w:pPr>
        <w:pStyle w:val="Heading3"/>
        <w:spacing w:before="1"/>
      </w:pPr>
      <w:r>
        <w:rPr>
          <w:color w:val="2EA836"/>
          <w:w w:val="105"/>
        </w:rPr>
        <w:t>Интегрирован с Power and Building Management</w:t>
      </w:r>
    </w:p>
    <w:p>
      <w:pPr>
        <w:pStyle w:val="BodyText"/>
        <w:spacing w:line="247" w:lineRule="auto" w:before="63"/>
        <w:ind w:left="709" w:right="283"/>
      </w:pPr>
      <w:r>
        <w:rPr>
          <w:color w:val="4D555B"/>
          <w:w w:val="105"/>
        </w:rPr>
        <w:t>Интегрируйтесь с экспертом по эксплуатации здания и мониторингу мощности, чтобы получить информацию о состоянии критически важных систем поддержки в электрических и механических помещениях, а также о качестве электроэнергии и ее распределении.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</w:pPr>
      <w:r>
        <w:rPr>
          <w:color w:val="2EA836"/>
          <w:w w:val="105"/>
        </w:rPr>
        <w:t>API веб-служб</w:t>
      </w:r>
    </w:p>
    <w:p>
      <w:pPr>
        <w:pStyle w:val="BodyText"/>
        <w:spacing w:line="247" w:lineRule="auto" w:before="64"/>
        <w:ind w:left="709" w:right="26"/>
      </w:pPr>
      <w:r>
        <w:rPr/>
        <w:pict>
          <v:group style="position:absolute;margin-left:36.483185pt;margin-top:71.419754pt;width:251.95pt;height:112.75pt;mso-position-horizontal-relative:page;mso-position-vertical-relative:paragraph;z-index:15732224" coordorigin="730,1428" coordsize="5039,2255">
            <v:shape style="position:absolute;left:757;top:1455;width:4984;height:2200" coordorigin="757,1456" coordsize="4984,2200" path="m757,1822l765,1749,786,1680,820,1618,864,1563,919,1518,981,1485,1050,1463,1124,1456,5374,1456,5448,1463,5516,1485,5579,1518,5633,1563,5678,1618,5711,1680,5733,1749,5740,1822,5740,3289,5733,3363,5711,3431,5678,3494,5633,3548,5579,3593,5516,3627,5448,3648,5374,3655,1124,3655,1050,3648,981,3627,919,3593,864,3548,820,3494,786,3431,765,3363,757,3289,757,1822xe" filled="false" stroked="true" strokeweight="2.749127pt" strokecolor="#d9d9d9">
              <v:path arrowok="t"/>
              <v:stroke dashstyle="solid"/>
            </v:shape>
            <v:line style="position:absolute" from="2818,2656" to="3526,2656" stroked="true" strokeweight="1.832891pt" strokecolor="#616369">
              <v:stroke dashstyle="solid"/>
            </v:line>
            <v:line style="position:absolute" from="2821,2015" to="2821,2388" stroked="true" strokeweight="2.086752pt" strokecolor="#616369">
              <v:stroke dashstyle="solid"/>
            </v:line>
            <v:line style="position:absolute" from="2818,2052" to="3603,2052" stroked="true" strokeweight="1.832905pt" strokecolor="#616369">
              <v:stroke dashstyle="solid"/>
            </v:line>
            <v:line style="position:absolute" from="2800,2363" to="3584,2363" stroked="true" strokeweight="1.83291pt" strokecolor="#616369">
              <v:stroke dashstyle="solid"/>
            </v:line>
            <v:shape style="position:absolute;left:1004;top:1941;width:4526;height:789" coordorigin="1004,1942" coordsize="4526,789" path="m2525,2119l2515,2071,2489,2032,2450,2006,2403,1997,1127,1997,1079,2006,1040,2032,1014,2071,1004,2119,1004,2608,1014,2655,1040,2694,1079,2720,1127,2730,2403,2730,2450,2720,2489,2694,2515,2655,2525,2608,2525,2119xm5530,1981l5526,1966,5518,1953,5505,1945,5490,1942,3426,1942,3410,1945,3398,1953,3389,1966,3386,1981,3386,2140,3389,2156,3398,2168,3410,2177,3426,2180,5490,2180,5505,2177,5518,2168,5526,2156,5530,2140,5530,1981xm5530,2296l5526,2279,5517,2266,5503,2257,5487,2253,3429,2253,3412,2257,3399,2266,3389,2279,3386,2296,3386,2467,3389,2484,3399,2497,3412,2506,3429,2510,5487,2510,5503,2506,5517,2497,5526,2484,5530,2467,5530,2296xe" filled="true" fillcolor="#b00043" stroked="false">
              <v:path arrowok="t"/>
              <v:fill type="solid"/>
            </v:shape>
            <v:line style="position:absolute" from="2525,2363" to="2818,2363" stroked="true" strokeweight="1.832904pt" strokecolor="#616369">
              <v:stroke dashstyle="solid"/>
            </v:line>
            <v:shape style="position:absolute;left:3001;top:1923;width:275;height:275" type="#_x0000_t75" stroked="false">
              <v:imagedata r:id="rId17" o:title=""/>
            </v:shape>
            <v:shape style="position:absolute;left:3001;top:2234;width:275;height:275" type="#_x0000_t75" stroked="false">
              <v:imagedata r:id="rId18" o:title=""/>
            </v:shape>
            <v:shape style="position:absolute;left:3001;top:2546;width:275;height:275" type="#_x0000_t75" stroked="false">
              <v:imagedata r:id="rId17" o:title=""/>
            </v:shape>
            <v:shape style="position:absolute;left:3386;top:2564;width:2144;height:257" coordorigin="3386,2565" coordsize="2144,257" path="m5487,2821l3429,2821,3412,2818,3399,2809,3389,2795,3386,2779,3386,2608,3389,2591,3399,2577,3412,2568,3429,2565,5487,2565,5503,2568,5517,2577,5526,2591,5530,2608,5530,2779,5526,2795,5517,2809,5503,2818,5487,2821xe" filled="true" fillcolor="#b00043" stroked="false">
              <v:path arrowok="t"/>
              <v:fill type="solid"/>
            </v:shape>
            <v:line style="position:absolute" from="2821,2308" to="2821,2681" stroked="true" strokeweight="2.086747pt" strokecolor="#616369">
              <v:stroke dashstyle="solid"/>
            </v:line>
            <v:shape style="position:absolute;left:1213;top:2127;width:1093;height:46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-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Эксперт ЦОД</w:t>
                    </w:r>
                  </w:p>
                </w:txbxContent>
              </v:textbox>
              <w10:wrap type="none"/>
            </v:shape>
            <v:shape style="position:absolute;left:3035;top:1846;width:258;height:1045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9D9D9"/>
                        <w:w w:val="101"/>
                        <w:sz w:val="38"/>
                      </w:rPr>
                      <w:t>+</w:t>
                    </w:r>
                  </w:p>
                  <w:p>
                    <w:pPr>
                      <w:spacing w:line="307" w:lineRule="exact" w:before="0"/>
                      <w:ind w:left="13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9D9D9"/>
                        <w:w w:val="101"/>
                        <w:sz w:val="38"/>
                      </w:rPr>
                      <w:t>+</w:t>
                    </w:r>
                  </w:p>
                  <w:p>
                    <w:pPr>
                      <w:spacing w:line="374" w:lineRule="exact" w:before="0"/>
                      <w:ind w:left="13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9D9D9"/>
                        <w:w w:val="101"/>
                        <w:sz w:val="3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440;top:1960;width:1870;height:82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Безопасность (наблюдение)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Выход Modbus TCP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Поддержка устройств SNMP</w:t>
                    </w:r>
                  </w:p>
                </w:txbxContent>
              </v:textbox>
              <w10:wrap type="none"/>
            </v:shape>
            <v:shape style="position:absolute;left:1000;top:2855;width:1609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16369"/>
                        <w:sz w:val="20"/>
                      </w:rPr>
                      <w:t>Базовое приложение</w:t>
                    </w:r>
                  </w:p>
                </w:txbxContent>
              </v:textbox>
              <w10:wrap type="none"/>
            </v:shape>
            <v:shape style="position:absolute;left:3184;top:2981;width:2093;height:46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6" w:firstLine="12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16369"/>
                        <w:sz w:val="20"/>
                      </w:rPr>
                      <w:t>Модули продукта и возможности расширения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D555B"/>
          <w:w w:val="105"/>
        </w:rPr>
        <w:t>Готовый доступ к предупреждениям, данным, отчетам и тенденциям Data Center Expert через существующие панели мониторинга или создание настраиваемых порталов для финансовых, операционных или других представлений.</w:t>
      </w:r>
    </w:p>
    <w:p>
      <w:pPr>
        <w:pStyle w:val="BodyText"/>
        <w:spacing w:line="247" w:lineRule="auto" w:before="100"/>
        <w:ind w:left="258" w:right="882"/>
      </w:pPr>
      <w:r>
        <w:rPr/>
        <w:br w:type="column"/>
      </w:r>
      <w:r>
        <w:rPr>
          <w:color w:val="4D555B"/>
          <w:w w:val="105"/>
        </w:rPr>
        <w:t>Data Center Expert прост в использовании и развертывании с удобным интерфейсом для мониторинга, управления и контроля сотен или тысяч устройств.</w:t>
      </w:r>
    </w:p>
    <w:p>
      <w:pPr>
        <w:pStyle w:val="BodyText"/>
        <w:spacing w:line="247" w:lineRule="auto"/>
        <w:ind w:left="258" w:right="972"/>
      </w:pPr>
      <w:r>
        <w:rPr>
          <w:color w:val="4D555B"/>
          <w:w w:val="105"/>
        </w:rPr>
        <w:t>компания может быть от широкого круга производителей. Эти устройства включают оборудование, обеспечивающее питание, охлаждение, безопасность и мониторинг окружающей среды.</w:t>
      </w:r>
    </w:p>
    <w:p>
      <w:pPr>
        <w:pStyle w:val="BodyText"/>
        <w:spacing w:before="1"/>
        <w:rPr>
          <w:sz w:val="32"/>
        </w:rPr>
      </w:pPr>
    </w:p>
    <w:p>
      <w:pPr>
        <w:pStyle w:val="Heading3"/>
        <w:ind w:left="258"/>
      </w:pPr>
      <w:r>
        <w:rPr>
          <w:color w:val="2EA836"/>
          <w:w w:val="105"/>
        </w:rPr>
        <w:t>Централизованный мониторинг и оповещения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64" w:after="0"/>
        <w:ind w:left="258" w:right="1830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Поддержка нескольких поставщиков для мониторинга любого сетевого устройства от любого производителя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892" w:firstLine="0"/>
        <w:jc w:val="left"/>
        <w:rPr>
          <w:sz w:val="22"/>
        </w:rPr>
      </w:pPr>
      <w:r>
        <w:rPr>
          <w:color w:val="4D555B"/>
          <w:w w:val="105"/>
          <w:sz w:val="22"/>
        </w:rPr>
        <w:t>Мониторинг в реальном времени и мгновенное уведомление об ошибках и их эскалация позволяют быстро разрешать критические события инфраструктуры.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901" w:firstLine="0"/>
        <w:jc w:val="left"/>
        <w:rPr>
          <w:sz w:val="22"/>
        </w:rPr>
      </w:pPr>
      <w:r>
        <w:rPr>
          <w:color w:val="4D555B"/>
          <w:w w:val="105"/>
          <w:sz w:val="22"/>
        </w:rPr>
        <w:t>Централизованное хранилище важной информации, доступное нескольким пользователям из любой точки сети.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1443" w:firstLine="0"/>
        <w:jc w:val="left"/>
        <w:rPr>
          <w:sz w:val="22"/>
        </w:rPr>
      </w:pPr>
      <w:r>
        <w:rPr>
          <w:color w:val="4D555B"/>
          <w:w w:val="105"/>
          <w:sz w:val="22"/>
        </w:rPr>
        <w:t>Будущие тенденции, позволяющие по-новому взглянуть на состояние, планирование и бюджет вашей инфраструктуры.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1060" w:firstLine="0"/>
        <w:jc w:val="left"/>
        <w:rPr>
          <w:sz w:val="22"/>
        </w:rPr>
      </w:pPr>
      <w:r>
        <w:rPr>
          <w:color w:val="4D555B"/>
          <w:w w:val="105"/>
          <w:sz w:val="22"/>
        </w:rPr>
        <w:t>Настраиваемая сигнализация и эскалация по устройству, стойке или местоположению нужным людям в нужное время.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1053" w:firstLine="0"/>
        <w:jc w:val="left"/>
        <w:rPr>
          <w:sz w:val="22"/>
        </w:rPr>
      </w:pPr>
      <w:r>
        <w:rPr>
          <w:color w:val="4D555B"/>
          <w:w w:val="105"/>
          <w:sz w:val="22"/>
        </w:rPr>
        <w:t>Открытая и гибкая архитектура, которая расширяется с изменяющимися потребностями бизнеса за счет дополнительных лицензий на устройства, дополнительных приложений наблюдения, операций и управления.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7" w:lineRule="auto" w:before="55" w:after="0"/>
        <w:ind w:left="258" w:right="1322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Полный комплект разработчика программного обеспечения (SDK) обеспечивает максимальную гибкость за счет индивидуальной интеграции с другими системами.</w:t>
      </w:r>
    </w:p>
    <w:p>
      <w:pPr>
        <w:spacing w:after="0" w:line="247" w:lineRule="auto"/>
        <w:jc w:val="left"/>
        <w:rPr>
          <w:sz w:val="22"/>
        </w:rPr>
        <w:sectPr>
          <w:type w:val="continuous"/>
          <w:pgSz w:w="12240" w:h="15840"/>
          <w:pgMar w:top="1500" w:bottom="280" w:left="0" w:right="0"/>
          <w:cols w:num="2" w:equalWidth="0">
            <w:col w:w="5916" w:space="40"/>
            <w:col w:w="6284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101"/>
      </w:pPr>
      <w:r>
        <w:rPr>
          <w:color w:val="2CB34A"/>
          <w:w w:val="105"/>
        </w:rPr>
        <w:t>Характеристики и преимущества</w:t>
      </w:r>
    </w:p>
    <w:p>
      <w:pPr>
        <w:pStyle w:val="BodyText"/>
        <w:spacing w:before="4"/>
        <w:rPr>
          <w:b/>
          <w:sz w:val="29"/>
        </w:rPr>
      </w:pPr>
    </w:p>
    <w:p>
      <w:pPr>
        <w:spacing w:before="95"/>
        <w:ind w:left="1955" w:right="0" w:firstLine="0"/>
        <w:jc w:val="left"/>
        <w:rPr>
          <w:b/>
          <w:sz w:val="17"/>
        </w:rPr>
      </w:pPr>
      <w:r>
        <w:rPr>
          <w:b/>
          <w:color w:val="00942F"/>
          <w:sz w:val="17"/>
        </w:rPr>
        <w:t>Управляемость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1825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5748"/>
      </w:tblGrid>
      <w:tr>
        <w:trPr>
          <w:trHeight w:val="812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Централизованное управление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104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Упростите управление инфраструктурой центра обработки данных с помощью централизованного репозитория, доступного из любой точки сети с помощью мощного и простого в использовании консольного приложения.</w:t>
            </w:r>
          </w:p>
        </w:tc>
      </w:tr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Мониторинг в реальном времени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7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Мгновенная видимость всей вашей физической инфраструктуры за счет централизованного мониторинга устройств и уведомлений в реальном времени, что позволяет быстро оценивать события по мере их возникновения.</w:t>
            </w:r>
          </w:p>
        </w:tc>
      </w:tr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Уведомление о неисправности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4"/>
              <w:ind w:left="126" w:right="141"/>
              <w:jc w:val="both"/>
              <w:rPr>
                <w:sz w:val="17"/>
              </w:rPr>
            </w:pPr>
            <w:r>
              <w:rPr>
                <w:color w:val="7E7E7E"/>
                <w:sz w:val="17"/>
              </w:rPr>
              <w:t>Уведомление о событиях в режиме реального времени сводит к минимуму время реакции на критические ситуации с физической инфраструктурой. Позволяет ИТ-администраторам сократить среднее время на ремонт, повысить эффективность и увеличить время безотказной работы.</w:t>
            </w:r>
          </w:p>
        </w:tc>
      </w:tr>
      <w:tr>
        <w:trPr>
          <w:trHeight w:val="727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Поддержка устройств от разных производителей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1"/>
              <w:ind w:left="126" w:right="220"/>
              <w:rPr>
                <w:sz w:val="17"/>
              </w:rPr>
            </w:pPr>
            <w:r>
              <w:rPr>
                <w:color w:val="7E7E7E"/>
                <w:sz w:val="17"/>
              </w:rPr>
              <w:t>Обширная мультивендорная поддержка для мониторинга сетевых устройств SNMP. Обеспечьте видимость существующих устройств SNMP с помощью уведомлений о пороговых предупреждениях, отслеживания тенденций и отчетов.</w:t>
            </w:r>
          </w:p>
        </w:tc>
      </w:tr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Единая консоль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73"/>
              <w:ind w:left="126" w:right="220"/>
              <w:rPr>
                <w:sz w:val="17"/>
              </w:rPr>
            </w:pPr>
            <w:r>
              <w:rPr>
                <w:color w:val="7E7E7E"/>
                <w:sz w:val="17"/>
              </w:rPr>
              <w:t>Настраиваемое клиентское приложение для Windows и Linux обеспечивает мгновенный доступ к приложению Data Center Expert из любой точки сети.</w:t>
            </w:r>
          </w:p>
        </w:tc>
      </w:tr>
    </w:tbl>
    <w:p>
      <w:pPr>
        <w:pStyle w:val="BodyText"/>
        <w:spacing w:before="1"/>
        <w:rPr>
          <w:b/>
          <w:sz w:val="17"/>
        </w:rPr>
      </w:pPr>
    </w:p>
    <w:p>
      <w:pPr>
        <w:spacing w:before="1"/>
        <w:ind w:left="1955" w:right="0" w:firstLine="0"/>
        <w:jc w:val="left"/>
        <w:rPr>
          <w:b/>
          <w:sz w:val="17"/>
        </w:rPr>
      </w:pPr>
      <w:r>
        <w:rPr>
          <w:b/>
          <w:color w:val="00942F"/>
          <w:sz w:val="17"/>
        </w:rPr>
        <w:t>Ловкость</w:t>
      </w: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1825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5748"/>
      </w:tblGrid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Автообнаружение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6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Сокращает время, необходимое для установки и развертывания устройств физической инфраструктуры, за счет автоматического обнаружения управляемых устройств в вашей сети.</w:t>
            </w:r>
          </w:p>
        </w:tc>
      </w:tr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Конфигурация массы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4"/>
              <w:ind w:left="126" w:right="134"/>
              <w:rPr>
                <w:sz w:val="17"/>
              </w:rPr>
            </w:pPr>
            <w:r>
              <w:rPr>
                <w:color w:val="7E7E7E"/>
                <w:sz w:val="17"/>
              </w:rPr>
              <w:t>Предоставляет комплексные возможности массовой конфигурации, позволяя пользователям создавать, сохранять и передавать конфигурации или определенные параметры устройства на аналогичные устройства APC с картой сетевого управления.</w:t>
            </w:r>
          </w:p>
        </w:tc>
      </w:tr>
    </w:tbl>
    <w:p>
      <w:pPr>
        <w:pStyle w:val="BodyText"/>
        <w:rPr>
          <w:b/>
        </w:rPr>
      </w:pPr>
    </w:p>
    <w:p>
      <w:pPr>
        <w:spacing w:before="1"/>
        <w:ind w:left="1955" w:right="0" w:firstLine="0"/>
        <w:jc w:val="left"/>
        <w:rPr>
          <w:b/>
          <w:sz w:val="17"/>
        </w:rPr>
      </w:pPr>
      <w:r>
        <w:rPr>
          <w:b/>
          <w:color w:val="00942F"/>
          <w:sz w:val="17"/>
        </w:rPr>
        <w:t>Доступность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1825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5748"/>
      </w:tblGrid>
      <w:tr>
        <w:trPr>
          <w:trHeight w:val="726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Графический анализ тенденций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60"/>
              <w:ind w:left="126" w:right="134"/>
              <w:rPr>
                <w:sz w:val="17"/>
              </w:rPr>
            </w:pPr>
            <w:r>
              <w:rPr>
                <w:color w:val="7E7E7E"/>
                <w:sz w:val="17"/>
              </w:rPr>
              <w:t>Доступ к текущим и историческим данным для любого устройства или группы устройств. Постройте и изобразите несколько точек данных в виде логической корреляции для визуализации потенциально опасных тенденций.</w:t>
            </w:r>
          </w:p>
        </w:tc>
      </w:tr>
      <w:tr>
        <w:trPr>
          <w:trHeight w:val="684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Пользовательская отчетность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142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Создание, сохранение и планирование пользовательских отчетов для упрощения сбора, распространения и анализа данных.</w:t>
            </w:r>
          </w:p>
        </w:tc>
      </w:tr>
      <w:tr>
        <w:trPr>
          <w:trHeight w:val="712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Централизованное хранилище предупреждений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150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Доступ к историческим предупреждениям с нескольких устройств через одну центральную базу данных. Сортируйте оповещения по типу, дате, устройству и / или группе устройств.</w:t>
            </w:r>
          </w:p>
        </w:tc>
      </w:tr>
      <w:tr>
        <w:trPr>
          <w:trHeight w:val="869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Интегрированное хранилище данных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line="244" w:lineRule="auto" w:before="128"/>
              <w:ind w:left="126" w:right="191"/>
              <w:rPr>
                <w:sz w:val="17"/>
              </w:rPr>
            </w:pPr>
            <w:r>
              <w:rPr>
                <w:color w:val="7E7E7E"/>
                <w:sz w:val="17"/>
              </w:rPr>
              <w:t>Дополнительное хранилище можно легко сделать доступным с помощью встроенной поддержки сервера сетевого хранилища для долгосрочного хранения и архивирования.</w:t>
            </w:r>
          </w:p>
        </w:tc>
      </w:tr>
      <w:tr>
        <w:trPr>
          <w:trHeight w:val="741" w:hRule="atLeast"/>
        </w:trPr>
        <w:tc>
          <w:tcPr>
            <w:tcW w:w="2910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7E7E7E"/>
                <w:sz w:val="17"/>
              </w:rPr>
              <w:t>Локализованный пользовательский интерфейс</w:t>
            </w:r>
          </w:p>
        </w:tc>
        <w:tc>
          <w:tcPr>
            <w:tcW w:w="5748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244" w:lineRule="auto"/>
              <w:ind w:left="126" w:right="134"/>
              <w:rPr>
                <w:sz w:val="17"/>
              </w:rPr>
            </w:pPr>
            <w:r>
              <w:rPr>
                <w:color w:val="7E7E7E"/>
                <w:sz w:val="17"/>
              </w:rPr>
              <w:t>Предоставляет локализованный пользовательский интерфейс, включая предупреждения и описания предупреждений на 10 местных языках.</w:t>
            </w:r>
          </w:p>
        </w:tc>
      </w:tr>
    </w:tbl>
    <w:p>
      <w:pPr>
        <w:spacing w:after="0" w:line="244" w:lineRule="auto"/>
        <w:rPr>
          <w:sz w:val="17"/>
        </w:rPr>
        <w:sectPr>
          <w:pgSz w:w="12240" w:h="15840"/>
          <w:pgMar w:header="368" w:footer="0" w:top="198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pict>
          <v:rect style="position:absolute;margin-left:-.142pt;margin-top:-30.03404pt;width:612.283pt;height:66.614pt;mso-position-horizontal-relative:page;mso-position-vertical-relative:paragraph;z-index:-16152064" filled="true" fillcolor="#2ea836" stroked="false">
            <v:fill type="solid"/>
            <w10:wrap type="none"/>
          </v:rect>
        </w:pict>
      </w:r>
      <w:r>
        <w:rPr>
          <w:color w:val="FFFFFF"/>
          <w:w w:val="105"/>
        </w:rPr>
        <w:t>StruxureWare Data Center Expert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</w:pPr>
      <w:r>
        <w:rPr>
          <w:color w:val="2CB34A"/>
        </w:rPr>
        <w:t>Характеристики</w:t>
      </w: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1882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1092"/>
        <w:gridCol w:w="1092"/>
        <w:gridCol w:w="1092"/>
        <w:gridCol w:w="1045"/>
        <w:gridCol w:w="1482"/>
      </w:tblGrid>
      <w:tr>
        <w:trPr>
          <w:trHeight w:val="208" w:hRule="atLeast"/>
        </w:trPr>
        <w:tc>
          <w:tcPr>
            <w:tcW w:w="271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58" w:lineRule="exact" w:before="30"/>
              <w:ind w:left="-5"/>
              <w:rPr>
                <w:b/>
                <w:sz w:val="17"/>
              </w:rPr>
            </w:pPr>
            <w:r>
              <w:rPr>
                <w:b/>
                <w:color w:val="00942F"/>
                <w:sz w:val="17"/>
              </w:rPr>
              <w:t>Характеристики</w:t>
            </w: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spacing w:line="158" w:lineRule="exact" w:before="30"/>
              <w:ind w:left="79" w:right="88"/>
              <w:jc w:val="center"/>
              <w:rPr>
                <w:b/>
                <w:sz w:val="17"/>
              </w:rPr>
            </w:pPr>
            <w:r>
              <w:rPr>
                <w:b/>
                <w:color w:val="00942F"/>
                <w:sz w:val="17"/>
              </w:rPr>
              <w:t>Базовый</w:t>
            </w: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spacing w:line="158" w:lineRule="exact" w:before="30"/>
              <w:ind w:right="180"/>
              <w:jc w:val="right"/>
              <w:rPr>
                <w:b/>
                <w:sz w:val="17"/>
              </w:rPr>
            </w:pPr>
            <w:r>
              <w:rPr>
                <w:b/>
                <w:color w:val="00942F"/>
                <w:sz w:val="17"/>
              </w:rPr>
              <w:t>Стандарт</w:t>
            </w: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spacing w:line="158" w:lineRule="exact" w:before="30"/>
              <w:ind w:left="79" w:right="111"/>
              <w:jc w:val="center"/>
              <w:rPr>
                <w:b/>
                <w:sz w:val="17"/>
              </w:rPr>
            </w:pPr>
            <w:r>
              <w:rPr>
                <w:b/>
                <w:color w:val="00942F"/>
                <w:sz w:val="17"/>
              </w:rPr>
              <w:t>Предприятие</w:t>
            </w:r>
          </w:p>
        </w:tc>
        <w:tc>
          <w:tcPr>
            <w:tcW w:w="2527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158" w:lineRule="exact" w:before="30"/>
              <w:ind w:left="609"/>
              <w:rPr>
                <w:b/>
                <w:sz w:val="17"/>
              </w:rPr>
            </w:pPr>
            <w:r>
              <w:rPr>
                <w:b/>
                <w:color w:val="00942F"/>
                <w:sz w:val="17"/>
              </w:rPr>
              <w:t>Виртуальная машина</w:t>
            </w:r>
          </w:p>
        </w:tc>
      </w:tr>
      <w:tr>
        <w:trPr>
          <w:trHeight w:val="182" w:hRule="atLeast"/>
        </w:trPr>
        <w:tc>
          <w:tcPr>
            <w:tcW w:w="2715" w:type="dxa"/>
            <w:tcBorders>
              <w:left w:val="nil"/>
            </w:tcBorders>
          </w:tcPr>
          <w:p>
            <w:pPr>
              <w:pStyle w:val="TableParagraph"/>
              <w:spacing w:line="158" w:lineRule="exact" w:before="5"/>
              <w:ind w:left="-5"/>
              <w:rPr>
                <w:b/>
                <w:sz w:val="17"/>
              </w:rPr>
            </w:pPr>
            <w:r>
              <w:rPr>
                <w:b/>
                <w:sz w:val="17"/>
              </w:rPr>
              <w:t>SKU</w:t>
            </w:r>
          </w:p>
        </w:tc>
        <w:tc>
          <w:tcPr>
            <w:tcW w:w="1092" w:type="dxa"/>
          </w:tcPr>
          <w:p>
            <w:pPr>
              <w:pStyle w:val="TableParagraph"/>
              <w:spacing w:line="158" w:lineRule="exact" w:before="5"/>
              <w:ind w:left="79" w:right="9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AP9465</w:t>
            </w:r>
          </w:p>
        </w:tc>
        <w:tc>
          <w:tcPr>
            <w:tcW w:w="1092" w:type="dxa"/>
          </w:tcPr>
          <w:p>
            <w:pPr>
              <w:pStyle w:val="TableParagraph"/>
              <w:spacing w:line="158" w:lineRule="exact" w:before="5"/>
              <w:ind w:right="23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AP9470</w:t>
            </w:r>
          </w:p>
        </w:tc>
        <w:tc>
          <w:tcPr>
            <w:tcW w:w="1092" w:type="dxa"/>
          </w:tcPr>
          <w:p>
            <w:pPr>
              <w:pStyle w:val="TableParagraph"/>
              <w:spacing w:line="158" w:lineRule="exact" w:before="5"/>
              <w:ind w:left="79" w:right="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AP9475</w:t>
            </w:r>
          </w:p>
        </w:tc>
        <w:tc>
          <w:tcPr>
            <w:tcW w:w="1045" w:type="dxa"/>
          </w:tcPr>
          <w:p>
            <w:pPr>
              <w:pStyle w:val="TableParagraph"/>
              <w:spacing w:line="158" w:lineRule="exact" w:before="5"/>
              <w:ind w:left="1"/>
              <w:rPr>
                <w:b/>
                <w:sz w:val="17"/>
              </w:rPr>
            </w:pPr>
            <w:r>
              <w:rPr>
                <w:b/>
                <w:sz w:val="17"/>
              </w:rPr>
              <w:t>AP94VMTRL</w:t>
            </w:r>
          </w:p>
        </w:tc>
        <w:tc>
          <w:tcPr>
            <w:tcW w:w="1482" w:type="dxa"/>
            <w:tcBorders>
              <w:right w:val="nil"/>
            </w:tcBorders>
          </w:tcPr>
          <w:p>
            <w:pPr>
              <w:pStyle w:val="TableParagraph"/>
              <w:spacing w:line="158" w:lineRule="exact" w:before="5"/>
              <w:ind w:left="214"/>
              <w:rPr>
                <w:b/>
                <w:sz w:val="17"/>
              </w:rPr>
            </w:pPr>
            <w:r>
              <w:rPr>
                <w:b/>
                <w:sz w:val="17"/>
              </w:rPr>
              <w:t>AP94VMACT</w:t>
            </w:r>
          </w:p>
        </w:tc>
      </w:tr>
      <w:tr>
        <w:trPr>
          <w:trHeight w:val="510" w:hRule="atLeast"/>
        </w:trPr>
        <w:tc>
          <w:tcPr>
            <w:tcW w:w="271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-5"/>
              <w:rPr>
                <w:sz w:val="14"/>
              </w:rPr>
            </w:pPr>
            <w:r>
              <w:rPr>
                <w:sz w:val="14"/>
              </w:rPr>
              <w:t>Поддержка устройства (1 узел = 1 IP-адрес)</w:t>
            </w:r>
          </w:p>
        </w:tc>
        <w:tc>
          <w:tcPr>
            <w:tcW w:w="109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/>
              <w:ind w:left="136" w:right="308"/>
              <w:rPr>
                <w:sz w:val="14"/>
              </w:rPr>
            </w:pPr>
            <w:r>
              <w:rPr>
                <w:sz w:val="14"/>
              </w:rPr>
              <w:t>До 525 устройств</w:t>
            </w:r>
          </w:p>
        </w:tc>
        <w:tc>
          <w:tcPr>
            <w:tcW w:w="109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/>
              <w:ind w:left="135" w:right="193"/>
              <w:rPr>
                <w:sz w:val="14"/>
              </w:rPr>
            </w:pPr>
            <w:r>
              <w:rPr>
                <w:sz w:val="14"/>
              </w:rPr>
              <w:t>До 2025 устройств</w:t>
            </w:r>
          </w:p>
        </w:tc>
        <w:tc>
          <w:tcPr>
            <w:tcW w:w="1092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/>
              <w:ind w:left="133" w:right="195"/>
              <w:rPr>
                <w:sz w:val="14"/>
              </w:rPr>
            </w:pPr>
            <w:r>
              <w:rPr>
                <w:sz w:val="14"/>
              </w:rPr>
              <w:t>До 4025 устройств</w:t>
            </w:r>
          </w:p>
        </w:tc>
        <w:tc>
          <w:tcPr>
            <w:tcW w:w="1045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/>
              <w:ind w:left="131" w:right="399"/>
              <w:rPr>
                <w:sz w:val="14"/>
              </w:rPr>
            </w:pPr>
            <w:r>
              <w:rPr>
                <w:sz w:val="14"/>
              </w:rPr>
              <w:t>До 5 устройств</w:t>
            </w:r>
          </w:p>
        </w:tc>
        <w:tc>
          <w:tcPr>
            <w:tcW w:w="1482" w:type="dxa"/>
            <w:tcBorders>
              <w:right w:val="nil"/>
            </w:tcBorders>
          </w:tcPr>
          <w:p>
            <w:pPr>
              <w:pStyle w:val="TableParagraph"/>
              <w:spacing w:line="256" w:lineRule="auto" w:before="2"/>
              <w:ind w:left="141"/>
              <w:rPr>
                <w:sz w:val="14"/>
              </w:rPr>
            </w:pPr>
            <w:r>
              <w:rPr>
                <w:sz w:val="14"/>
              </w:rPr>
              <w:t>До 325 устройств с (1) процессором и</w:t>
            </w:r>
          </w:p>
          <w:p>
            <w:pPr>
              <w:pStyle w:val="TableParagraph"/>
              <w:spacing w:line="144" w:lineRule="exact"/>
              <w:ind w:left="141"/>
              <w:rPr>
                <w:sz w:val="14"/>
              </w:rPr>
            </w:pPr>
            <w:r>
              <w:rPr>
                <w:sz w:val="14"/>
              </w:rPr>
              <w:t>(1) ГБ RAM</w:t>
            </w:r>
          </w:p>
        </w:tc>
      </w:tr>
      <w:tr>
        <w:trPr>
          <w:trHeight w:val="1041" w:hRule="atLeast"/>
        </w:trPr>
        <w:tc>
          <w:tcPr>
            <w:tcW w:w="27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right w:val="nil"/>
            </w:tcBorders>
          </w:tcPr>
          <w:p>
            <w:pPr>
              <w:pStyle w:val="TableParagraph"/>
              <w:spacing w:line="256" w:lineRule="auto"/>
              <w:ind w:left="141"/>
              <w:rPr>
                <w:sz w:val="14"/>
              </w:rPr>
            </w:pPr>
            <w:r>
              <w:rPr>
                <w:sz w:val="14"/>
              </w:rPr>
              <w:t>До 1025 устройств с (1) процессором и</w:t>
            </w:r>
          </w:p>
          <w:p>
            <w:pPr>
              <w:pStyle w:val="TableParagraph"/>
              <w:tabs>
                <w:tab w:pos="1474" w:val="left" w:leader="none"/>
              </w:tabs>
              <w:spacing w:line="160" w:lineRule="exact"/>
              <w:ind w:left="-8" w:right="-15"/>
              <w:rPr>
                <w:sz w:val="14"/>
              </w:rPr>
            </w:pPr>
            <w:r>
              <w:rPr>
                <w:w w:val="100"/>
                <w:sz w:val="14"/>
                <w:u w:val="single" w:color="BEBEBE"/>
              </w:rPr>
              <w:t> </w:t>
            </w:r>
            <w:r>
              <w:rPr>
                <w:sz w:val="14"/>
                <w:u w:val="single" w:color="BEBEBE"/>
              </w:rPr>
              <w:t> (2) ГБ</w:t>
            </w:r>
            <w:r>
              <w:rPr>
                <w:spacing w:val="2"/>
                <w:sz w:val="14"/>
                <w:u w:val="single" w:color="BEBEBE"/>
              </w:rPr>
              <w:t> баран</w:t>
              <w:tab/>
            </w:r>
          </w:p>
          <w:p>
            <w:pPr>
              <w:pStyle w:val="TableParagraph"/>
              <w:spacing w:line="256" w:lineRule="auto" w:before="23"/>
              <w:ind w:left="141"/>
              <w:rPr>
                <w:sz w:val="14"/>
              </w:rPr>
            </w:pPr>
            <w:r>
              <w:rPr>
                <w:sz w:val="14"/>
              </w:rPr>
              <w:t>До 2025 устройств с (2) процессорами и</w:t>
            </w:r>
          </w:p>
          <w:p>
            <w:pPr>
              <w:pStyle w:val="TableParagraph"/>
              <w:spacing w:line="149" w:lineRule="exact"/>
              <w:ind w:left="141"/>
              <w:rPr>
                <w:sz w:val="14"/>
              </w:rPr>
            </w:pPr>
            <w:r>
              <w:rPr>
                <w:sz w:val="14"/>
              </w:rPr>
              <w:t>(2) ГБ RAM</w:t>
            </w:r>
          </w:p>
        </w:tc>
      </w:tr>
      <w:tr>
        <w:trPr>
          <w:trHeight w:val="510" w:hRule="atLeast"/>
        </w:trPr>
        <w:tc>
          <w:tcPr>
            <w:tcW w:w="27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right w:val="nil"/>
            </w:tcBorders>
          </w:tcPr>
          <w:p>
            <w:pPr>
              <w:pStyle w:val="TableParagraph"/>
              <w:spacing w:line="256" w:lineRule="auto"/>
              <w:ind w:left="141"/>
              <w:rPr>
                <w:sz w:val="14"/>
              </w:rPr>
            </w:pPr>
            <w:r>
              <w:rPr>
                <w:sz w:val="14"/>
              </w:rPr>
              <w:t>До 4025 устройств с (4) ЦП и</w:t>
            </w:r>
          </w:p>
          <w:p>
            <w:pPr>
              <w:pStyle w:val="TableParagraph"/>
              <w:spacing w:line="152" w:lineRule="exact"/>
              <w:ind w:left="141"/>
              <w:rPr>
                <w:sz w:val="14"/>
              </w:rPr>
            </w:pPr>
            <w:r>
              <w:rPr>
                <w:sz w:val="14"/>
              </w:rPr>
              <w:t>(4) ГБ RAM</w:t>
            </w:r>
          </w:p>
        </w:tc>
      </w:tr>
      <w:tr>
        <w:trPr>
          <w:trHeight w:val="323" w:hRule="atLeast"/>
        </w:trPr>
        <w:tc>
          <w:tcPr>
            <w:tcW w:w="2715" w:type="dxa"/>
            <w:tcBorders>
              <w:left w:val="nil"/>
            </w:tcBorders>
          </w:tcPr>
          <w:p>
            <w:pPr>
              <w:pStyle w:val="TableParagraph"/>
              <w:spacing w:before="79"/>
              <w:ind w:left="-5"/>
              <w:rPr>
                <w:sz w:val="14"/>
              </w:rPr>
            </w:pPr>
            <w:r>
              <w:rPr>
                <w:sz w:val="14"/>
              </w:rPr>
              <w:t>Поддержка видеонаблюдения NetBotz Appliance</w:t>
            </w:r>
          </w:p>
        </w:tc>
        <w:tc>
          <w:tcPr>
            <w:tcW w:w="1092" w:type="dxa"/>
          </w:tcPr>
          <w:p>
            <w:pPr>
              <w:pStyle w:val="TableParagraph"/>
              <w:spacing w:line="153" w:lineRule="exact"/>
              <w:ind w:left="136"/>
              <w:rPr>
                <w:sz w:val="14"/>
              </w:rPr>
            </w:pPr>
            <w:r>
              <w:rPr>
                <w:sz w:val="14"/>
              </w:rPr>
              <w:t>До 15</w:t>
            </w:r>
          </w:p>
          <w:p>
            <w:pPr>
              <w:pStyle w:val="TableParagraph"/>
              <w:spacing w:line="140" w:lineRule="exact" w:before="10"/>
              <w:ind w:left="136"/>
              <w:rPr>
                <w:sz w:val="14"/>
              </w:rPr>
            </w:pPr>
            <w:r>
              <w:rPr>
                <w:sz w:val="14"/>
              </w:rPr>
              <w:t>Техника</w:t>
            </w:r>
          </w:p>
        </w:tc>
        <w:tc>
          <w:tcPr>
            <w:tcW w:w="1092" w:type="dxa"/>
          </w:tcPr>
          <w:p>
            <w:pPr>
              <w:pStyle w:val="TableParagraph"/>
              <w:spacing w:line="153" w:lineRule="exact"/>
              <w:ind w:left="135"/>
              <w:rPr>
                <w:sz w:val="14"/>
              </w:rPr>
            </w:pPr>
            <w:r>
              <w:rPr>
                <w:sz w:val="14"/>
              </w:rPr>
              <w:t>До 125</w:t>
            </w:r>
          </w:p>
          <w:p>
            <w:pPr>
              <w:pStyle w:val="TableParagraph"/>
              <w:spacing w:line="140" w:lineRule="exact" w:before="10"/>
              <w:ind w:left="135"/>
              <w:rPr>
                <w:sz w:val="14"/>
              </w:rPr>
            </w:pPr>
            <w:r>
              <w:rPr>
                <w:sz w:val="14"/>
              </w:rPr>
              <w:t>Техника</w:t>
            </w:r>
          </w:p>
        </w:tc>
        <w:tc>
          <w:tcPr>
            <w:tcW w:w="1092" w:type="dxa"/>
          </w:tcPr>
          <w:p>
            <w:pPr>
              <w:pStyle w:val="TableParagraph"/>
              <w:spacing w:line="153" w:lineRule="exact"/>
              <w:ind w:left="133"/>
              <w:rPr>
                <w:sz w:val="14"/>
              </w:rPr>
            </w:pPr>
            <w:r>
              <w:rPr>
                <w:sz w:val="14"/>
              </w:rPr>
              <w:t>До 250</w:t>
            </w:r>
          </w:p>
          <w:p>
            <w:pPr>
              <w:pStyle w:val="TableParagraph"/>
              <w:spacing w:line="140" w:lineRule="exact" w:before="10"/>
              <w:ind w:left="133"/>
              <w:rPr>
                <w:sz w:val="14"/>
              </w:rPr>
            </w:pPr>
            <w:r>
              <w:rPr>
                <w:sz w:val="14"/>
              </w:rPr>
              <w:t>Техника</w:t>
            </w:r>
          </w:p>
        </w:tc>
        <w:tc>
          <w:tcPr>
            <w:tcW w:w="1045" w:type="dxa"/>
          </w:tcPr>
          <w:p>
            <w:pPr>
              <w:pStyle w:val="TableParagraph"/>
              <w:spacing w:line="153" w:lineRule="exact"/>
              <w:ind w:left="131"/>
              <w:rPr>
                <w:sz w:val="14"/>
              </w:rPr>
            </w:pPr>
            <w:r>
              <w:rPr>
                <w:sz w:val="14"/>
              </w:rPr>
              <w:t>До 1</w:t>
            </w:r>
          </w:p>
          <w:p>
            <w:pPr>
              <w:pStyle w:val="TableParagraph"/>
              <w:spacing w:line="140" w:lineRule="exact" w:before="10"/>
              <w:ind w:left="131"/>
              <w:rPr>
                <w:sz w:val="14"/>
              </w:rPr>
            </w:pPr>
            <w:r>
              <w:rPr>
                <w:sz w:val="14"/>
              </w:rPr>
              <w:t>прибор</w:t>
            </w:r>
          </w:p>
        </w:tc>
        <w:tc>
          <w:tcPr>
            <w:tcW w:w="1482" w:type="dxa"/>
            <w:tcBorders>
              <w:right w:val="nil"/>
            </w:tcBorders>
          </w:tcPr>
          <w:p>
            <w:pPr>
              <w:pStyle w:val="TableParagraph"/>
              <w:spacing w:line="153" w:lineRule="exact"/>
              <w:ind w:left="141"/>
              <w:rPr>
                <w:sz w:val="14"/>
              </w:rPr>
            </w:pPr>
            <w:r>
              <w:rPr>
                <w:sz w:val="14"/>
              </w:rPr>
              <w:t>До 250</w:t>
            </w:r>
          </w:p>
          <w:p>
            <w:pPr>
              <w:pStyle w:val="TableParagraph"/>
              <w:spacing w:line="140" w:lineRule="exact" w:before="10"/>
              <w:ind w:left="141"/>
              <w:rPr>
                <w:sz w:val="14"/>
              </w:rPr>
            </w:pPr>
            <w:r>
              <w:rPr>
                <w:sz w:val="14"/>
              </w:rPr>
              <w:t>Техника</w:t>
            </w:r>
          </w:p>
        </w:tc>
      </w:tr>
      <w:tr>
        <w:trPr>
          <w:trHeight w:val="713" w:hRule="atLeast"/>
        </w:trPr>
        <w:tc>
          <w:tcPr>
            <w:tcW w:w="271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2"/>
              <w:ind w:left="-5"/>
              <w:rPr>
                <w:sz w:val="14"/>
              </w:rPr>
            </w:pPr>
            <w:r>
              <w:rPr>
                <w:sz w:val="14"/>
              </w:rPr>
              <w:t>Поддерживаемые типы устройств</w:t>
            </w:r>
          </w:p>
        </w:tc>
        <w:tc>
          <w:tcPr>
            <w:tcW w:w="5803" w:type="dxa"/>
            <w:gridSpan w:val="5"/>
            <w:tcBorders>
              <w:right w:val="nil"/>
            </w:tcBorders>
          </w:tcPr>
          <w:p>
            <w:pPr>
              <w:pStyle w:val="TableParagraph"/>
              <w:spacing w:line="256" w:lineRule="auto" w:before="101"/>
              <w:ind w:left="136" w:right="254"/>
              <w:rPr>
                <w:sz w:val="14"/>
              </w:rPr>
            </w:pPr>
            <w:r>
              <w:rPr>
                <w:sz w:val="14"/>
              </w:rPr>
              <w:t>Все: модели ИБП, чиллеры, блоки распределения питания (PDU), стоечные БРП, кондиционеры в компьютерных залах, датчики окружающей среды, оборудование для измерения мощности, приборы наблюдения, статические переключатели, резервные генераторы</w:t>
            </w:r>
          </w:p>
        </w:tc>
      </w:tr>
      <w:tr>
        <w:trPr>
          <w:trHeight w:val="292" w:hRule="atLeast"/>
        </w:trPr>
        <w:tc>
          <w:tcPr>
            <w:tcW w:w="2715" w:type="dxa"/>
            <w:tcBorders>
              <w:left w:val="nil"/>
            </w:tcBorders>
          </w:tcPr>
          <w:p>
            <w:pPr>
              <w:pStyle w:val="TableParagraph"/>
              <w:spacing w:before="63"/>
              <w:ind w:left="-5"/>
              <w:rPr>
                <w:sz w:val="14"/>
              </w:rPr>
            </w:pPr>
            <w:r>
              <w:rPr>
                <w:sz w:val="14"/>
              </w:rPr>
              <w:t>Интеграция системы управления зданием</w:t>
            </w:r>
          </w:p>
        </w:tc>
        <w:tc>
          <w:tcPr>
            <w:tcW w:w="5803" w:type="dxa"/>
            <w:gridSpan w:val="5"/>
            <w:tcBorders>
              <w:right w:val="nil"/>
            </w:tcBorders>
          </w:tcPr>
          <w:p>
            <w:pPr>
              <w:pStyle w:val="TableParagraph"/>
              <w:spacing w:before="63"/>
              <w:ind w:left="136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>
        <w:trPr>
          <w:trHeight w:val="292" w:hRule="atLeast"/>
        </w:trPr>
        <w:tc>
          <w:tcPr>
            <w:tcW w:w="2715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-5"/>
              <w:rPr>
                <w:sz w:val="14"/>
              </w:rPr>
            </w:pPr>
            <w:r>
              <w:rPr>
                <w:sz w:val="14"/>
              </w:rPr>
              <w:t>Поддержка SNMP и ModBus от различных поставщиков</w:t>
            </w:r>
          </w:p>
        </w:tc>
        <w:tc>
          <w:tcPr>
            <w:tcW w:w="5803" w:type="dxa"/>
            <w:gridSpan w:val="5"/>
            <w:tcBorders>
              <w:right w:val="nil"/>
            </w:tcBorders>
          </w:tcPr>
          <w:p>
            <w:pPr>
              <w:pStyle w:val="TableParagraph"/>
              <w:spacing w:before="66"/>
              <w:ind w:left="136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>
        <w:trPr>
          <w:trHeight w:val="224" w:hRule="atLeast"/>
        </w:trPr>
        <w:tc>
          <w:tcPr>
            <w:tcW w:w="271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9"/>
              <w:ind w:left="-5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218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29"/>
              <w:ind w:left="136"/>
              <w:rPr>
                <w:sz w:val="14"/>
              </w:rPr>
            </w:pPr>
            <w:r>
              <w:rPr>
                <w:sz w:val="14"/>
              </w:rPr>
              <w:t>Разовая поставка</w:t>
            </w:r>
          </w:p>
        </w:tc>
        <w:tc>
          <w:tcPr>
            <w:tcW w:w="1092" w:type="dxa"/>
            <w:tcBorders>
              <w:bottom w:val="nil"/>
            </w:tcBorders>
          </w:tcPr>
          <w:p>
            <w:pPr>
              <w:pStyle w:val="TableParagraph"/>
              <w:spacing w:before="29"/>
              <w:ind w:left="49" w:right="111"/>
              <w:jc w:val="center"/>
              <w:rPr>
                <w:sz w:val="14"/>
              </w:rPr>
            </w:pPr>
            <w:r>
              <w:rPr>
                <w:sz w:val="14"/>
              </w:rPr>
              <w:t>Двойное питание</w:t>
            </w:r>
          </w:p>
        </w:tc>
        <w:tc>
          <w:tcPr>
            <w:tcW w:w="252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29"/>
              <w:ind w:left="131"/>
              <w:rPr>
                <w:sz w:val="14"/>
              </w:rPr>
            </w:pPr>
            <w:r>
              <w:rPr>
                <w:sz w:val="14"/>
              </w:rPr>
              <w:t>н / д</w:t>
            </w:r>
          </w:p>
        </w:tc>
      </w:tr>
    </w:tbl>
    <w:p>
      <w:pPr>
        <w:spacing w:line="230" w:lineRule="auto" w:before="226"/>
        <w:ind w:left="1865" w:right="7966" w:firstLine="0"/>
        <w:jc w:val="left"/>
        <w:rPr>
          <w:b/>
          <w:sz w:val="17"/>
        </w:rPr>
      </w:pPr>
      <w:r>
        <w:rPr>
          <w:b/>
          <w:color w:val="00942F"/>
          <w:sz w:val="17"/>
        </w:rPr>
        <w:t>Необходимые условия для клиентской системы и веб-браузера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1869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5810"/>
      </w:tblGrid>
      <w:tr>
        <w:trPr>
          <w:trHeight w:val="387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before="110"/>
              <w:ind w:left="3"/>
              <w:rPr>
                <w:sz w:val="14"/>
              </w:rPr>
            </w:pPr>
            <w:r>
              <w:rPr>
                <w:sz w:val="14"/>
              </w:rPr>
              <w:t>Операционная система</w:t>
            </w:r>
          </w:p>
        </w:tc>
        <w:tc>
          <w:tcPr>
            <w:tcW w:w="5810" w:type="dxa"/>
            <w:tcBorders>
              <w:right w:val="nil"/>
            </w:tcBorders>
          </w:tcPr>
          <w:p>
            <w:pPr>
              <w:pStyle w:val="TableParagraph"/>
              <w:spacing w:line="256" w:lineRule="auto" w:before="22"/>
              <w:ind w:left="134" w:right="29"/>
              <w:rPr>
                <w:sz w:val="14"/>
              </w:rPr>
            </w:pPr>
            <w:r>
              <w:rPr>
                <w:sz w:val="14"/>
              </w:rPr>
              <w:t>Microsoft® Windows® XP (SP1, SP2, SP3) Windows® Server 2003 (SP2) Windows® Vista, Windows® 7 или Red Hat® Enterprise, Linux® 6.0 (только для 32-разрядных платформ)</w:t>
            </w:r>
          </w:p>
        </w:tc>
      </w:tr>
      <w:tr>
        <w:trPr>
          <w:trHeight w:val="168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line="143" w:lineRule="exact" w:before="5"/>
              <w:ind w:left="3"/>
              <w:rPr>
                <w:sz w:val="14"/>
              </w:rPr>
            </w:pPr>
            <w:r>
              <w:rPr>
                <w:sz w:val="14"/>
              </w:rPr>
              <w:t>Скорость процессора</w:t>
            </w:r>
          </w:p>
        </w:tc>
        <w:tc>
          <w:tcPr>
            <w:tcW w:w="5810" w:type="dxa"/>
            <w:tcBorders>
              <w:right w:val="nil"/>
            </w:tcBorders>
          </w:tcPr>
          <w:p>
            <w:pPr>
              <w:pStyle w:val="TableParagraph"/>
              <w:spacing w:line="143" w:lineRule="exact" w:before="5"/>
              <w:ind w:left="134"/>
              <w:rPr>
                <w:sz w:val="14"/>
              </w:rPr>
            </w:pPr>
            <w:r>
              <w:rPr>
                <w:sz w:val="14"/>
              </w:rPr>
              <w:t>Процессор AMD / Intel с тактовой частотой 1 ГГц или лучше</w:t>
            </w:r>
          </w:p>
        </w:tc>
      </w:tr>
      <w:tr>
        <w:trPr>
          <w:trHeight w:val="168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line="146" w:lineRule="exact" w:before="2"/>
              <w:ind w:left="3"/>
              <w:rPr>
                <w:sz w:val="14"/>
              </w:rPr>
            </w:pPr>
            <w:r>
              <w:rPr>
                <w:sz w:val="14"/>
              </w:rPr>
              <w:t>Системная память</w:t>
            </w:r>
          </w:p>
        </w:tc>
        <w:tc>
          <w:tcPr>
            <w:tcW w:w="5810" w:type="dxa"/>
            <w:tcBorders>
              <w:right w:val="nil"/>
            </w:tcBorders>
          </w:tcPr>
          <w:p>
            <w:pPr>
              <w:pStyle w:val="TableParagraph"/>
              <w:spacing w:line="146" w:lineRule="exact" w:before="2"/>
              <w:ind w:left="134"/>
              <w:rPr>
                <w:sz w:val="14"/>
              </w:rPr>
            </w:pPr>
            <w:r>
              <w:rPr>
                <w:sz w:val="14"/>
              </w:rPr>
              <w:t>1 ГБ оперативной памяти</w:t>
            </w:r>
          </w:p>
        </w:tc>
      </w:tr>
      <w:tr>
        <w:trPr>
          <w:trHeight w:val="152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line="132" w:lineRule="exact"/>
              <w:ind w:left="3"/>
              <w:rPr>
                <w:sz w:val="14"/>
              </w:rPr>
            </w:pPr>
            <w:r>
              <w:rPr>
                <w:sz w:val="14"/>
              </w:rPr>
              <w:t>Разрешение экрана</w:t>
            </w:r>
          </w:p>
        </w:tc>
        <w:tc>
          <w:tcPr>
            <w:tcW w:w="5810" w:type="dxa"/>
            <w:tcBorders>
              <w:right w:val="nil"/>
            </w:tcBorders>
          </w:tcPr>
          <w:p>
            <w:pPr>
              <w:pStyle w:val="TableParagraph"/>
              <w:spacing w:line="132" w:lineRule="exact"/>
              <w:ind w:left="134"/>
              <w:rPr>
                <w:sz w:val="14"/>
              </w:rPr>
            </w:pPr>
            <w:r>
              <w:rPr>
                <w:sz w:val="14"/>
              </w:rPr>
              <w:t>1024 x 768</w:t>
            </w:r>
          </w:p>
        </w:tc>
      </w:tr>
      <w:tr>
        <w:trPr>
          <w:trHeight w:val="757" w:hRule="atLeast"/>
        </w:trPr>
        <w:tc>
          <w:tcPr>
            <w:tcW w:w="270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0"/>
              <w:ind w:left="3"/>
              <w:rPr>
                <w:sz w:val="14"/>
              </w:rPr>
            </w:pPr>
            <w:r>
              <w:rPr>
                <w:sz w:val="14"/>
              </w:rPr>
              <w:t>Требования к браузеру</w:t>
            </w:r>
          </w:p>
        </w:tc>
        <w:tc>
          <w:tcPr>
            <w:tcW w:w="581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6" w:lineRule="auto" w:before="119"/>
              <w:ind w:left="134" w:right="29"/>
              <w:rPr>
                <w:sz w:val="14"/>
              </w:rPr>
            </w:pPr>
            <w:r>
              <w:rPr>
                <w:sz w:val="14"/>
              </w:rPr>
              <w:t>В браузере должен быть включен JavaScript®, Mozilla Firefox® версии 12.0, 13.0, 14.0 Microsoft Internet Explorer® версии 8.0, 9.0, 10.0 Google Chrome ™ версии 19.0,</w:t>
            </w: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20,0, 21,0</w:t>
            </w:r>
          </w:p>
        </w:tc>
      </w:tr>
    </w:tbl>
    <w:p>
      <w:pPr>
        <w:pStyle w:val="BodyText"/>
        <w:rPr>
          <w:b/>
          <w:sz w:val="16"/>
        </w:rPr>
      </w:pPr>
    </w:p>
    <w:p>
      <w:pPr>
        <w:spacing w:before="0" w:after="26"/>
        <w:ind w:left="1871" w:right="0" w:firstLine="0"/>
        <w:jc w:val="left"/>
        <w:rPr>
          <w:b/>
          <w:sz w:val="17"/>
        </w:rPr>
      </w:pPr>
      <w:r>
        <w:rPr>
          <w:b/>
          <w:color w:val="00942F"/>
          <w:sz w:val="17"/>
        </w:rPr>
        <w:t>Связь и хранение</w:t>
      </w:r>
    </w:p>
    <w:tbl>
      <w:tblPr>
        <w:tblW w:w="0" w:type="auto"/>
        <w:jc w:val="left"/>
        <w:tblInd w:w="187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1080"/>
        <w:gridCol w:w="1096"/>
        <w:gridCol w:w="1096"/>
        <w:gridCol w:w="2537"/>
      </w:tblGrid>
      <w:tr>
        <w:trPr>
          <w:trHeight w:val="324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before="78"/>
              <w:ind w:left="3"/>
              <w:rPr>
                <w:sz w:val="14"/>
              </w:rPr>
            </w:pPr>
            <w:r>
              <w:rPr>
                <w:sz w:val="14"/>
              </w:rPr>
              <w:t>Встроенная оперативная память</w:t>
            </w:r>
          </w:p>
        </w:tc>
        <w:tc>
          <w:tcPr>
            <w:tcW w:w="1080" w:type="dxa"/>
          </w:tcPr>
          <w:p>
            <w:pPr>
              <w:pStyle w:val="TableParagraph"/>
              <w:spacing w:before="78"/>
              <w:ind w:left="134"/>
              <w:rPr>
                <w:sz w:val="14"/>
              </w:rPr>
            </w:pPr>
            <w:r>
              <w:rPr>
                <w:sz w:val="14"/>
              </w:rPr>
              <w:t>2 ГБ</w:t>
            </w:r>
          </w:p>
        </w:tc>
        <w:tc>
          <w:tcPr>
            <w:tcW w:w="1096" w:type="dxa"/>
          </w:tcPr>
          <w:p>
            <w:pPr>
              <w:pStyle w:val="TableParagraph"/>
              <w:spacing w:before="78"/>
              <w:ind w:left="148"/>
              <w:rPr>
                <w:sz w:val="14"/>
              </w:rPr>
            </w:pPr>
            <w:r>
              <w:rPr>
                <w:sz w:val="14"/>
              </w:rPr>
              <w:t>2 ГБ</w:t>
            </w:r>
          </w:p>
        </w:tc>
        <w:tc>
          <w:tcPr>
            <w:tcW w:w="1096" w:type="dxa"/>
          </w:tcPr>
          <w:p>
            <w:pPr>
              <w:pStyle w:val="TableParagraph"/>
              <w:spacing w:before="78"/>
              <w:ind w:left="146"/>
              <w:rPr>
                <w:sz w:val="14"/>
              </w:rPr>
            </w:pPr>
            <w:r>
              <w:rPr>
                <w:sz w:val="14"/>
              </w:rPr>
              <w:t>4ГБ</w:t>
            </w: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line="152" w:lineRule="exact"/>
              <w:ind w:left="144"/>
              <w:rPr>
                <w:sz w:val="14"/>
              </w:rPr>
            </w:pPr>
            <w:r>
              <w:rPr>
                <w:sz w:val="14"/>
              </w:rPr>
              <w:t>См. «Поддержка VMware® Fault.</w:t>
            </w:r>
          </w:p>
          <w:p>
            <w:pPr>
              <w:pStyle w:val="TableParagraph"/>
              <w:spacing w:line="142" w:lineRule="exact" w:before="11"/>
              <w:ind w:left="144"/>
              <w:rPr>
                <w:sz w:val="14"/>
              </w:rPr>
            </w:pPr>
            <w:r>
              <w:rPr>
                <w:sz w:val="14"/>
              </w:rPr>
              <w:t>Tolerance »/« Высокая доступность »</w:t>
            </w:r>
          </w:p>
        </w:tc>
      </w:tr>
      <w:tr>
        <w:trPr>
          <w:trHeight w:val="512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3"/>
              <w:rPr>
                <w:sz w:val="14"/>
              </w:rPr>
            </w:pPr>
            <w:r>
              <w:rPr>
                <w:sz w:val="14"/>
              </w:rPr>
              <w:t>Хранилище данных</w:t>
            </w:r>
          </w:p>
        </w:tc>
        <w:tc>
          <w:tcPr>
            <w:tcW w:w="1080" w:type="dxa"/>
          </w:tcPr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160 ГБ</w:t>
            </w:r>
          </w:p>
          <w:p>
            <w:pPr>
              <w:pStyle w:val="TableParagraph"/>
              <w:spacing w:line="170" w:lineRule="atLeast" w:before="3"/>
              <w:ind w:left="134"/>
              <w:rPr>
                <w:sz w:val="14"/>
              </w:rPr>
            </w:pPr>
            <w:r>
              <w:rPr>
                <w:sz w:val="14"/>
              </w:rPr>
              <w:t>доступны для хранения данных</w:t>
            </w:r>
          </w:p>
        </w:tc>
        <w:tc>
          <w:tcPr>
            <w:tcW w:w="1096" w:type="dxa"/>
          </w:tcPr>
          <w:p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250 ГБ</w:t>
            </w:r>
          </w:p>
          <w:p>
            <w:pPr>
              <w:pStyle w:val="TableParagraph"/>
              <w:spacing w:line="170" w:lineRule="atLeast" w:before="3"/>
              <w:ind w:left="148"/>
              <w:rPr>
                <w:sz w:val="14"/>
              </w:rPr>
            </w:pPr>
            <w:r>
              <w:rPr>
                <w:sz w:val="14"/>
              </w:rPr>
              <w:t>доступны для хранения данных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auto"/>
              <w:ind w:left="146"/>
              <w:rPr>
                <w:sz w:val="14"/>
              </w:rPr>
            </w:pPr>
            <w:r>
              <w:rPr>
                <w:spacing w:val="-3"/>
                <w:sz w:val="14"/>
              </w:rPr>
              <w:t>1 ТБ </w:t>
            </w:r>
            <w:r>
              <w:rPr>
                <w:sz w:val="14"/>
              </w:rPr>
              <w:t>доступны для данных</w:t>
            </w:r>
          </w:p>
          <w:p>
            <w:pPr>
              <w:pStyle w:val="TableParagraph"/>
              <w:spacing w:line="147" w:lineRule="exact" w:before="1"/>
              <w:ind w:left="146"/>
              <w:rPr>
                <w:sz w:val="14"/>
              </w:rPr>
            </w:pPr>
            <w:r>
              <w:rPr>
                <w:sz w:val="14"/>
              </w:rPr>
              <w:t>место хранения</w:t>
            </w: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ind w:left="144"/>
              <w:rPr>
                <w:sz w:val="14"/>
              </w:rPr>
            </w:pPr>
            <w:r>
              <w:rPr>
                <w:sz w:val="14"/>
              </w:rPr>
              <w:t>Минимум 18 ГБ (включая необходимые</w:t>
            </w:r>
          </w:p>
          <w:p>
            <w:pPr>
              <w:pStyle w:val="TableParagraph"/>
              <w:spacing w:line="170" w:lineRule="atLeast" w:before="3"/>
              <w:ind w:left="144" w:right="138"/>
              <w:rPr>
                <w:sz w:val="14"/>
              </w:rPr>
            </w:pPr>
            <w:r>
              <w:rPr>
                <w:sz w:val="14"/>
              </w:rPr>
              <w:t>место для образа ВМ и 1 ГБ хранилища данных)</w:t>
            </w:r>
          </w:p>
        </w:tc>
      </w:tr>
      <w:tr>
        <w:trPr>
          <w:trHeight w:val="685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"/>
              <w:rPr>
                <w:sz w:val="14"/>
              </w:rPr>
            </w:pPr>
            <w:r>
              <w:rPr>
                <w:sz w:val="14"/>
              </w:rPr>
              <w:t>Поддерживает отказоустойчивость VMware®</w:t>
            </w:r>
          </w:p>
        </w:tc>
        <w:tc>
          <w:tcPr>
            <w:tcW w:w="3272" w:type="dxa"/>
            <w:gridSpan w:val="3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н / д</w:t>
            </w: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line="159" w:lineRule="exact"/>
              <w:ind w:left="144"/>
              <w:rPr>
                <w:sz w:val="14"/>
              </w:rPr>
            </w:pPr>
            <w:r>
              <w:rPr>
                <w:sz w:val="14"/>
              </w:rPr>
              <w:t>(1) ЦП, (1) ГБ ОЗУ, до 325</w:t>
            </w:r>
          </w:p>
          <w:p>
            <w:pPr>
              <w:pStyle w:val="TableParagraph"/>
              <w:tabs>
                <w:tab w:pos="2536" w:val="left" w:leader="none"/>
              </w:tabs>
              <w:spacing w:before="11"/>
              <w:ind w:left="-1" w:right="-15"/>
              <w:rPr>
                <w:sz w:val="14"/>
              </w:rPr>
            </w:pPr>
            <w:r>
              <w:rPr>
                <w:w w:val="100"/>
                <w:sz w:val="14"/>
                <w:u w:val="single" w:color="BEBEBE"/>
              </w:rPr>
              <w:t> </w:t>
            </w:r>
            <w:r>
              <w:rPr>
                <w:sz w:val="14"/>
                <w:u w:val="single" w:color="BEBEBE"/>
              </w:rPr>
              <w:t> </w:t>
            </w:r>
            <w:r>
              <w:rPr>
                <w:sz w:val="14"/>
                <w:u w:val="single" w:color="BEBEBE"/>
              </w:rPr>
              <w:t>устройства</w:t>
              <w:tab/>
            </w:r>
          </w:p>
          <w:p>
            <w:pPr>
              <w:pStyle w:val="TableParagraph"/>
              <w:spacing w:line="170" w:lineRule="atLeast" w:before="12"/>
              <w:ind w:left="144"/>
              <w:rPr>
                <w:sz w:val="14"/>
              </w:rPr>
            </w:pPr>
            <w:r>
              <w:rPr>
                <w:sz w:val="14"/>
              </w:rPr>
              <w:t>(1) ЦП, (2) ГБ ОЗУ, до 1025 устройств</w:t>
            </w:r>
          </w:p>
        </w:tc>
      </w:tr>
      <w:tr>
        <w:trPr>
          <w:trHeight w:val="340" w:hRule="atLeast"/>
        </w:trPr>
        <w:tc>
          <w:tcPr>
            <w:tcW w:w="270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"/>
              <w:rPr>
                <w:sz w:val="14"/>
              </w:rPr>
            </w:pPr>
            <w:r>
              <w:rPr>
                <w:sz w:val="14"/>
              </w:rPr>
              <w:t>Поддерживает VMware® High Availability</w:t>
            </w:r>
          </w:p>
        </w:tc>
        <w:tc>
          <w:tcPr>
            <w:tcW w:w="3272" w:type="dxa"/>
            <w:gridSpan w:val="3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н / д</w:t>
            </w: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44"/>
              <w:rPr>
                <w:sz w:val="14"/>
              </w:rPr>
            </w:pPr>
            <w:r>
              <w:rPr>
                <w:sz w:val="14"/>
              </w:rPr>
              <w:t>(1) ЦП, (1) ГБ ОЗУ, до 325</w:t>
            </w:r>
          </w:p>
          <w:p>
            <w:pPr>
              <w:pStyle w:val="TableParagraph"/>
              <w:spacing w:line="146" w:lineRule="exact" w:before="11"/>
              <w:ind w:left="144"/>
              <w:rPr>
                <w:sz w:val="14"/>
              </w:rPr>
            </w:pPr>
            <w:r>
              <w:rPr>
                <w:sz w:val="14"/>
              </w:rPr>
              <w:t>устройства</w:t>
            </w:r>
          </w:p>
        </w:tc>
      </w:tr>
      <w:tr>
        <w:trPr>
          <w:trHeight w:val="340" w:hRule="atLeast"/>
        </w:trPr>
        <w:tc>
          <w:tcPr>
            <w:tcW w:w="270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left="144"/>
              <w:rPr>
                <w:sz w:val="14"/>
              </w:rPr>
            </w:pPr>
            <w:r>
              <w:rPr>
                <w:sz w:val="14"/>
              </w:rPr>
              <w:t>(1) ЦП, (2) ГБ ОЗУ, до 1025</w:t>
            </w:r>
          </w:p>
          <w:p>
            <w:pPr>
              <w:pStyle w:val="TableParagraph"/>
              <w:spacing w:line="152" w:lineRule="exact" w:before="11"/>
              <w:ind w:left="144"/>
              <w:rPr>
                <w:sz w:val="14"/>
              </w:rPr>
            </w:pPr>
            <w:r>
              <w:rPr>
                <w:sz w:val="14"/>
              </w:rPr>
              <w:t>устройства</w:t>
            </w:r>
          </w:p>
        </w:tc>
      </w:tr>
      <w:tr>
        <w:trPr>
          <w:trHeight w:val="685" w:hRule="atLeast"/>
        </w:trPr>
        <w:tc>
          <w:tcPr>
            <w:tcW w:w="270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line="151" w:lineRule="exact"/>
              <w:ind w:left="144"/>
              <w:rPr>
                <w:sz w:val="14"/>
              </w:rPr>
            </w:pPr>
            <w:r>
              <w:rPr>
                <w:sz w:val="14"/>
              </w:rPr>
              <w:t>(2) ЦП, (2) ГБ ОЗУ, до 2025</w:t>
            </w:r>
          </w:p>
          <w:p>
            <w:pPr>
              <w:pStyle w:val="TableParagraph"/>
              <w:tabs>
                <w:tab w:pos="2536" w:val="left" w:leader="none"/>
              </w:tabs>
              <w:spacing w:before="11"/>
              <w:ind w:left="-1" w:right="-15"/>
              <w:rPr>
                <w:sz w:val="14"/>
              </w:rPr>
            </w:pPr>
            <w:r>
              <w:rPr>
                <w:w w:val="100"/>
                <w:sz w:val="14"/>
                <w:u w:val="single" w:color="BEBEBE"/>
              </w:rPr>
              <w:t> </w:t>
            </w:r>
            <w:r>
              <w:rPr>
                <w:sz w:val="14"/>
                <w:u w:val="single" w:color="BEBEBE"/>
              </w:rPr>
              <w:t> </w:t>
            </w:r>
            <w:r>
              <w:rPr>
                <w:sz w:val="14"/>
                <w:u w:val="single" w:color="BEBEBE"/>
              </w:rPr>
              <w:t>устройства</w:t>
              <w:tab/>
            </w:r>
          </w:p>
          <w:p>
            <w:pPr>
              <w:pStyle w:val="TableParagraph"/>
              <w:spacing w:line="170" w:lineRule="atLeast" w:before="12"/>
              <w:ind w:left="144"/>
              <w:rPr>
                <w:sz w:val="14"/>
              </w:rPr>
            </w:pPr>
            <w:r>
              <w:rPr>
                <w:sz w:val="14"/>
              </w:rPr>
              <w:t>(4) ЦП, (4) ГБ ОЗУ, до 4025 устройств</w:t>
            </w:r>
          </w:p>
        </w:tc>
      </w:tr>
      <w:tr>
        <w:trPr>
          <w:trHeight w:val="512" w:hRule="atLeast"/>
        </w:trPr>
        <w:tc>
          <w:tcPr>
            <w:tcW w:w="2709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"/>
              <w:rPr>
                <w:sz w:val="14"/>
              </w:rPr>
            </w:pPr>
            <w:r>
              <w:rPr>
                <w:sz w:val="14"/>
              </w:rPr>
              <w:t>Протоколы</w:t>
            </w:r>
          </w:p>
        </w:tc>
        <w:tc>
          <w:tcPr>
            <w:tcW w:w="3272" w:type="dxa"/>
            <w:gridSpan w:val="3"/>
          </w:tcPr>
          <w:p>
            <w:pPr>
              <w:pStyle w:val="TableParagraph"/>
              <w:spacing w:line="256" w:lineRule="auto" w:before="82"/>
              <w:ind w:left="134" w:right="143"/>
              <w:rPr>
                <w:sz w:val="14"/>
              </w:rPr>
            </w:pPr>
            <w:r>
              <w:rPr>
                <w:sz w:val="14"/>
              </w:rPr>
              <w:t>DNS, HTTP, HTTPS, SMS, SMTP, SSL, TCP / IP, SNMP,</w:t>
            </w:r>
          </w:p>
        </w:tc>
        <w:tc>
          <w:tcPr>
            <w:tcW w:w="2537" w:type="dxa"/>
            <w:tcBorders>
              <w:right w:val="nil"/>
            </w:tcBorders>
          </w:tcPr>
          <w:p>
            <w:pPr>
              <w:pStyle w:val="TableParagraph"/>
              <w:spacing w:line="155" w:lineRule="exact"/>
              <w:ind w:left="144"/>
              <w:rPr>
                <w:sz w:val="14"/>
              </w:rPr>
            </w:pPr>
            <w:r>
              <w:rPr>
                <w:sz w:val="14"/>
              </w:rPr>
              <w:t>DNS, HTTP, HTTPS, SMS,</w:t>
            </w:r>
          </w:p>
          <w:p>
            <w:pPr>
              <w:pStyle w:val="TableParagraph"/>
              <w:spacing w:line="170" w:lineRule="atLeast" w:before="2"/>
              <w:ind w:left="144"/>
              <w:rPr>
                <w:sz w:val="14"/>
              </w:rPr>
            </w:pPr>
            <w:r>
              <w:rPr>
                <w:sz w:val="14"/>
              </w:rPr>
              <w:t>SMTP, SSL, TCP / IP, SNMP, Modbus TCP</w:t>
            </w:r>
          </w:p>
        </w:tc>
      </w:tr>
      <w:tr>
        <w:trPr>
          <w:trHeight w:val="256" w:hRule="atLeast"/>
        </w:trPr>
        <w:tc>
          <w:tcPr>
            <w:tcW w:w="270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8"/>
              <w:ind w:left="3"/>
              <w:rPr>
                <w:sz w:val="14"/>
              </w:rPr>
            </w:pPr>
            <w:r>
              <w:rPr>
                <w:sz w:val="14"/>
              </w:rPr>
              <w:t>Подключения сетевого интерфейса</w:t>
            </w:r>
          </w:p>
        </w:tc>
        <w:tc>
          <w:tcPr>
            <w:tcW w:w="5809" w:type="dxa"/>
            <w:gridSpan w:val="4"/>
            <w:tcBorders>
              <w:bottom w:val="nil"/>
              <w:right w:val="nil"/>
            </w:tcBorders>
          </w:tcPr>
          <w:p>
            <w:pPr>
              <w:pStyle w:val="TableParagraph"/>
              <w:spacing w:before="38"/>
              <w:ind w:left="-12"/>
              <w:rPr>
                <w:sz w:val="14"/>
              </w:rPr>
            </w:pPr>
            <w:r>
              <w:rPr>
                <w:sz w:val="14"/>
              </w:rPr>
              <w:t>RJ-45 10/100/1000 Base-T</w:t>
            </w:r>
          </w:p>
        </w:tc>
      </w:tr>
    </w:tbl>
    <w:p>
      <w:pPr>
        <w:pStyle w:val="BodyText"/>
        <w:spacing w:before="5"/>
        <w:rPr>
          <w:b/>
          <w:sz w:val="16"/>
        </w:rPr>
      </w:pPr>
    </w:p>
    <w:p>
      <w:pPr>
        <w:spacing w:before="0"/>
        <w:ind w:left="1779" w:right="0" w:firstLine="0"/>
        <w:jc w:val="left"/>
        <w:rPr>
          <w:sz w:val="14"/>
        </w:rPr>
      </w:pPr>
      <w:r>
        <w:rPr>
          <w:color w:val="080000"/>
          <w:w w:val="105"/>
          <w:sz w:val="14"/>
        </w:rPr>
        <w:t>* Все серверы Data Center Expert включают 25 узлов</w:t>
      </w:r>
    </w:p>
    <w:p>
      <w:pPr>
        <w:spacing w:after="0"/>
        <w:jc w:val="left"/>
        <w:rPr>
          <w:sz w:val="14"/>
        </w:rPr>
        <w:sectPr>
          <w:pgSz w:w="12240" w:h="15840"/>
          <w:pgMar w:header="368" w:footer="0" w:top="5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rect style="position:absolute;margin-left:-.142pt;margin-top:-30.03404pt;width:612.283pt;height:66.614pt;mso-position-horizontal-relative:page;mso-position-vertical-relative:paragraph;z-index:-16151552" filled="true" fillcolor="#2ea836" stroked="false">
            <v:fill type="solid"/>
            <w10:wrap type="none"/>
          </v:rect>
        </w:pict>
      </w:r>
      <w:r>
        <w:rPr>
          <w:color w:val="FFFFFF"/>
          <w:w w:val="105"/>
        </w:rPr>
        <w:t>Безопасные программные услуги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247" w:lineRule="auto"/>
        <w:ind w:left="703" w:right="414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4884497</wp:posOffset>
            </wp:positionH>
            <wp:positionV relativeFrom="paragraph">
              <wp:posOffset>-42654</wp:posOffset>
            </wp:positionV>
            <wp:extent cx="2237613" cy="1348371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13" cy="13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55B"/>
          <w:w w:val="105"/>
        </w:rPr>
        <w:t>Schneider ElectricTM предлагает полный набор услуг для поддержки и улучшения нашего программного обеспечения StruxureWare для центров обработки данных.</w:t>
      </w:r>
    </w:p>
    <w:p>
      <w:pPr>
        <w:pStyle w:val="BodyText"/>
        <w:spacing w:line="300" w:lineRule="auto" w:before="55"/>
        <w:ind w:left="703" w:right="4712"/>
      </w:pPr>
      <w:r>
        <w:rPr>
          <w:color w:val="4D555B"/>
          <w:w w:val="105"/>
        </w:rPr>
        <w:t>Эти услуги предназначены для упрощения развертывания, снижения затрат и решения ваших основных проблем и проблем. Наши программные услуги гарантируют вам уверенность в том, что ваши приложения получат все необходимое для работы на оптимальном уровне в любое время.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711"/>
      </w:pPr>
      <w:r>
        <w:rPr/>
        <w:pict>
          <v:group style="position:absolute;margin-left:377.315002pt;margin-top:17.512051pt;width:201pt;height:506.1pt;mso-position-horizontal-relative:page;mso-position-vertical-relative:paragraph;z-index:15735808" coordorigin="7546,350" coordsize="4020,10122">
            <v:shape style="position:absolute;left:7558;top:694;width:3998;height:9769" coordorigin="7559,694" coordsize="3998,9769" path="m7845,694l7679,698,7594,730,7563,815,7559,980,7559,10176,7563,10341,7594,10426,7679,10458,7845,10462,11269,10462,11435,10458,11520,10426,11551,10341,11556,10176,11556,980,11551,815,11520,730,11435,698,11269,694,7845,694xe" filled="false" stroked="true" strokeweight="1pt" strokecolor="#979ea5">
              <v:path arrowok="t"/>
              <v:stroke dashstyle="solid"/>
            </v:shape>
            <v:rect style="position:absolute;left:7546;top:397;width:3489;height:530" filled="true" fillcolor="#ffffff" stroked="false">
              <v:fill type="solid"/>
            </v:rect>
            <v:shape style="position:absolute;left:7546;top:350;width:3840;height:4272" type="#_x0000_t202" filled="false" stroked="false">
              <v:textbox inset="0,0,0,0">
                <w:txbxContent>
                  <w:p>
                    <w:pPr>
                      <w:spacing w:line="225" w:lineRule="auto" w:before="1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AEEF"/>
                        <w:w w:val="105"/>
                        <w:sz w:val="24"/>
                      </w:rPr>
                      <w:t>Выигрышный рецепт Schneider Electric для превосходного обслуживания</w:t>
                    </w:r>
                  </w:p>
                  <w:p>
                    <w:pPr>
                      <w:spacing w:before="102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Выделенные ресурсы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58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Всемирная сеть сертифицированных сервисных инженеров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07" w:val="left" w:leader="none"/>
                      </w:tabs>
                      <w:spacing w:before="0"/>
                      <w:ind w:left="30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sz w:val="18"/>
                      </w:rPr>
                      <w:t>Доступно 24/7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Позволяет менеджерам центров обработки данных и объектов сосредоточиться на повседневной деятельности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Методология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25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Наши технические описания работ соответствуют структурированной методологии рабочих процедур, соответствующих отраслевым стандартам.</w:t>
                    </w:r>
                  </w:p>
                  <w:p>
                    <w:pPr>
                      <w:spacing w:before="0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лучшие практики</w:t>
                    </w:r>
                  </w:p>
                </w:txbxContent>
              </v:textbox>
              <w10:wrap type="none"/>
            </v:shape>
            <v:shape style="position:absolute;left:7738;top:5045;width:2689;height:3321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Исполнение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Управление развертыванием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Безопасность - главный приоритет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Соответствие производственному процессу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Планирование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инструменты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Последние обновления программного обеспечения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Последние обновления прошивки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Доступ к поддержке DCIM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sz w:val="18"/>
                      </w:rPr>
                      <w:t>HW оборудование</w:t>
                    </w:r>
                  </w:p>
                </w:txbxContent>
              </v:textbox>
              <w10:wrap type="none"/>
            </v:shape>
            <v:shape style="position:absolute;left:7738;top:8788;width:3606;height:1364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Спектакль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Быстрая и эффективная доставка услуг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5" w:val="left" w:leader="none"/>
                      </w:tabs>
                      <w:spacing w:line="260" w:lineRule="atLeast" w:before="57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Высококвалифицированные ресурсы обеспечивают работу StruxureWare для центров обработки данных на оптимальном уровне производительности.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EA836"/>
          <w:w w:val="105"/>
        </w:rPr>
        <w:t>Установка программы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402" w:firstLine="0"/>
        <w:jc w:val="left"/>
        <w:rPr>
          <w:sz w:val="22"/>
        </w:rPr>
      </w:pPr>
      <w:r>
        <w:rPr>
          <w:color w:val="4D555B"/>
          <w:sz w:val="22"/>
        </w:rPr>
        <w:t>Гарантирует, что все программные продукты правильно установлены высококвалифицированным инженером по обслуживанию на местах и ​​быстро готовы к использованию в вашем динамическом центре обработки данных.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11"/>
      </w:pPr>
      <w:r>
        <w:rPr>
          <w:color w:val="2EA836"/>
          <w:w w:val="105"/>
        </w:rPr>
        <w:t>Конфигурация программного обеспечения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672" w:firstLine="0"/>
        <w:jc w:val="left"/>
        <w:rPr>
          <w:sz w:val="22"/>
        </w:rPr>
      </w:pPr>
      <w:r>
        <w:rPr>
          <w:color w:val="4D555B"/>
          <w:sz w:val="22"/>
        </w:rPr>
        <w:t>Быстро и точно настраивает систему для эмуляции вашего уникального центра обработки данных, что, в свою очередь, позволяет вам принимать важные решения, которые сэкономят ваше время и деньги.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11"/>
      </w:pPr>
      <w:r>
        <w:rPr>
          <w:color w:val="2EA836"/>
          <w:w w:val="105"/>
        </w:rPr>
        <w:t>Контракты на поддержку программного обеспечения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491" w:firstLine="0"/>
        <w:jc w:val="left"/>
        <w:rPr>
          <w:sz w:val="22"/>
        </w:rPr>
      </w:pPr>
      <w:r>
        <w:rPr>
          <w:color w:val="4D555B"/>
          <w:sz w:val="22"/>
        </w:rPr>
        <w:t>Гарантирует, что вы будете в курсе последних выпусков программного обеспечения и технической поддержки.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11"/>
      </w:pPr>
      <w:r>
        <w:rPr>
          <w:color w:val="2EA836"/>
          <w:w w:val="105"/>
        </w:rPr>
        <w:t>Улучшение программного обеспечения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612" w:firstLine="0"/>
        <w:jc w:val="left"/>
        <w:rPr>
          <w:sz w:val="22"/>
        </w:rPr>
      </w:pPr>
      <w:r>
        <w:rPr>
          <w:color w:val="4D555B"/>
          <w:sz w:val="22"/>
        </w:rPr>
        <w:t>Предоставляет настраиваемые панели мониторинга и расширенные отчеты для удовлетворения потребностей вашего бизнеса.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11"/>
        <w:jc w:val="both"/>
      </w:pPr>
      <w:r>
        <w:rPr>
          <w:color w:val="2EA836"/>
          <w:w w:val="105"/>
        </w:rPr>
        <w:t>Управление развертыванием решения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478" w:firstLine="0"/>
        <w:jc w:val="both"/>
        <w:rPr>
          <w:sz w:val="22"/>
        </w:rPr>
      </w:pPr>
      <w:r>
        <w:rPr>
          <w:color w:val="4D555B"/>
          <w:sz w:val="22"/>
        </w:rPr>
        <w:t>Предоставляет единую точку контакта для наблюдения за установкой, настройкой, интеграцией, настройкой и усовершенствованием программного решения DCIM.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11"/>
        <w:jc w:val="both"/>
      </w:pPr>
      <w:r>
        <w:rPr>
          <w:color w:val="2EA836"/>
          <w:w w:val="105"/>
        </w:rPr>
        <w:t>Профилактическое обслуживание программного обеспечения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645" w:firstLine="0"/>
        <w:jc w:val="left"/>
        <w:rPr>
          <w:sz w:val="22"/>
        </w:rPr>
      </w:pPr>
      <w:r>
        <w:rPr>
          <w:color w:val="4D555B"/>
          <w:sz w:val="22"/>
        </w:rPr>
        <w:t>Предоставляет возможность посещения объекта для проверки, анализа, обнаружения и предотвращения сбоев системы, оптимизируя использование инструмента DCIM.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11"/>
      </w:pPr>
      <w:r>
        <w:rPr>
          <w:color w:val="2EA836"/>
          <w:w w:val="105"/>
        </w:rPr>
        <w:t>Интеграция программного обеспечения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381" w:firstLine="0"/>
        <w:jc w:val="left"/>
        <w:rPr>
          <w:sz w:val="22"/>
        </w:rPr>
      </w:pPr>
      <w:r>
        <w:rPr>
          <w:color w:val="4D555B"/>
          <w:sz w:val="22"/>
        </w:rPr>
        <w:t>Обеспечивает планирование, проектирование и управление проектами для интеграции программного обеспечения StruxureWare для центров обработки данных в существующее программное обеспечение или систему, предоставляя вам индивидуальный вид существующих приложений.</w:t>
      </w:r>
      <w:r>
        <w:rPr>
          <w:color w:val="2EA836"/>
          <w:sz w:val="22"/>
        </w:rPr>
        <w:t>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11"/>
      </w:pPr>
      <w:r>
        <w:rPr>
          <w:color w:val="2EA836"/>
          <w:w w:val="105"/>
        </w:rPr>
        <w:t>Программное обеспечение образования</w:t>
      </w:r>
    </w:p>
    <w:p>
      <w:pPr>
        <w:pStyle w:val="ListParagraph"/>
        <w:numPr>
          <w:ilvl w:val="1"/>
          <w:numId w:val="1"/>
        </w:numPr>
        <w:tabs>
          <w:tab w:pos="851" w:val="left" w:leader="none"/>
        </w:tabs>
        <w:spacing w:line="228" w:lineRule="auto" w:before="54" w:after="0"/>
        <w:ind w:left="711" w:right="5646" w:firstLine="0"/>
        <w:jc w:val="left"/>
        <w:rPr>
          <w:sz w:val="22"/>
        </w:rPr>
      </w:pPr>
      <w:r>
        <w:rPr>
          <w:color w:val="4D555B"/>
          <w:sz w:val="22"/>
        </w:rPr>
        <w:t>Предлагает практическое обучение ключевым функциям, эксплуатационным навыкам и передовым методам, позволяющим максимально эффективно использовать DCIM.</w:t>
      </w:r>
    </w:p>
    <w:p>
      <w:pPr>
        <w:spacing w:after="0" w:line="228" w:lineRule="auto"/>
        <w:jc w:val="left"/>
        <w:rPr>
          <w:sz w:val="22"/>
        </w:rPr>
        <w:sectPr>
          <w:pgSz w:w="12240" w:h="15840"/>
          <w:pgMar w:header="368" w:footer="0" w:top="5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rect style="position:absolute;margin-left:-.142pt;margin-top:-30.03404pt;width:612.283pt;height:66.614pt;mso-position-horizontal-relative:page;mso-position-vertical-relative:paragraph;z-index:-16148480" filled="true" fillcolor="#2ea836" stroked="false">
            <v:fill type="solid"/>
            <w10:wrap type="none"/>
          </v:rect>
        </w:pict>
      </w:r>
      <w:r>
        <w:rPr>
          <w:color w:val="FFFFFF"/>
          <w:w w:val="105"/>
        </w:rPr>
        <w:t>Для дополнительной информации...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368" w:footer="0" w:top="560" w:bottom="280" w:left="0" w:right="0"/>
        </w:sectPr>
      </w:pPr>
    </w:p>
    <w:p>
      <w:pPr>
        <w:pStyle w:val="Heading2"/>
        <w:ind w:left="879"/>
      </w:pPr>
      <w:r>
        <w:rPr>
          <w:color w:val="2CB34A"/>
        </w:rPr>
        <w:t>Дополнительные ресурсы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1"/>
        <w:ind w:left="879" w:right="0" w:firstLine="0"/>
        <w:jc w:val="left"/>
        <w:rPr>
          <w:b/>
          <w:sz w:val="20"/>
        </w:rPr>
      </w:pPr>
      <w:r>
        <w:rPr>
          <w:b/>
          <w:color w:val="2EA836"/>
          <w:w w:val="105"/>
          <w:sz w:val="20"/>
        </w:rPr>
        <w:t>Посетите white paper.apc.com</w:t>
      </w:r>
    </w:p>
    <w:p>
      <w:pPr>
        <w:spacing w:line="271" w:lineRule="auto" w:before="86"/>
        <w:ind w:left="879" w:right="129" w:firstLine="0"/>
        <w:jc w:val="left"/>
        <w:rPr>
          <w:sz w:val="20"/>
        </w:rPr>
      </w:pPr>
      <w:r>
        <w:rPr>
          <w:color w:val="4D555B"/>
          <w:w w:val="105"/>
          <w:sz w:val="20"/>
        </w:rPr>
        <w:t>Узнайте больше о технологиях и исследованиях, лежащих в основе StruxureWare для центров обработки данных.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0" w:after="0"/>
        <w:ind w:left="879" w:right="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Как программное обеспечение для управления инфраструктурой центра обработки данных улучшает планирование и сокращает эксплуатационные расходы (№ 107).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1" w:after="0"/>
        <w:ind w:left="879" w:right="979" w:firstLine="0"/>
        <w:jc w:val="left"/>
        <w:rPr>
          <w:sz w:val="20"/>
        </w:rPr>
      </w:pPr>
      <w:r>
        <w:rPr>
          <w:color w:val="4D555B"/>
          <w:spacing w:val="-3"/>
          <w:w w:val="105"/>
          <w:sz w:val="20"/>
        </w:rPr>
        <w:t>Избегая </w:t>
      </w:r>
      <w:r>
        <w:rPr>
          <w:color w:val="4D555B"/>
          <w:w w:val="105"/>
          <w:sz w:val="20"/>
        </w:rPr>
        <w:t>Распространенные ловушки оценки и внедрения решений DCIM (№ 170).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0" w:after="0"/>
        <w:ind w:left="879" w:right="33" w:firstLine="0"/>
        <w:jc w:val="left"/>
        <w:rPr>
          <w:sz w:val="20"/>
        </w:rPr>
      </w:pPr>
      <w:r>
        <w:rPr>
          <w:color w:val="4D555B"/>
          <w:w w:val="105"/>
          <w:sz w:val="20"/>
        </w:rPr>
        <w:t>Виртуализация и облачные вычисления: оптимизация питания, охлаждения и управления максимизирует преимущества (№ 118).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0" w:after="0"/>
        <w:ind w:left="879" w:right="414" w:firstLine="0"/>
        <w:jc w:val="left"/>
        <w:rPr>
          <w:sz w:val="20"/>
        </w:rPr>
      </w:pPr>
      <w:r>
        <w:rPr>
          <w:color w:val="4D555B"/>
          <w:w w:val="105"/>
          <w:sz w:val="20"/>
        </w:rPr>
        <w:t>Руководство по спецификации плотности мощности центра обработки данных (№ 120).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1" w:after="0"/>
        <w:ind w:left="879" w:right="1" w:firstLine="0"/>
        <w:jc w:val="left"/>
        <w:rPr>
          <w:sz w:val="20"/>
        </w:rPr>
      </w:pPr>
      <w:r>
        <w:rPr>
          <w:color w:val="4D555B"/>
          <w:w w:val="105"/>
          <w:sz w:val="20"/>
        </w:rPr>
        <w:t>Распределение затрат на электроэнергию и выбросы углерода в центре обработки данных среди ИТ-пользователей (№161).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53" w:val="left" w:leader="none"/>
        </w:tabs>
        <w:spacing w:line="271" w:lineRule="auto" w:before="0" w:after="0"/>
        <w:ind w:left="879" w:right="893" w:firstLine="0"/>
        <w:jc w:val="left"/>
        <w:rPr>
          <w:sz w:val="20"/>
        </w:rPr>
      </w:pPr>
      <w:r>
        <w:rPr>
          <w:color w:val="4D555B"/>
          <w:w w:val="105"/>
          <w:sz w:val="20"/>
        </w:rPr>
        <w:t>Оценка электрического углеродного следа центра обработки данных (№ 66).</w:t>
      </w:r>
    </w:p>
    <w:p>
      <w:pPr>
        <w:spacing w:before="106"/>
        <w:ind w:left="4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EA836"/>
          <w:sz w:val="20"/>
        </w:rPr>
        <w:t>Просмотр видео</w:t>
      </w:r>
    </w:p>
    <w:p>
      <w:pPr>
        <w:spacing w:line="271" w:lineRule="auto" w:before="87"/>
        <w:ind w:left="446" w:right="88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Посетите tv.schneider-electric.com, чтобы посмотреть наши видеоролики о StruxureWare для центров обработки данных и отзывы клиентов.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hyperlink r:id="rId20">
        <w:r>
          <w:rPr>
            <w:b/>
            <w:color w:val="4D555B"/>
            <w:w w:val="105"/>
            <w:sz w:val="20"/>
          </w:rPr>
          <w:t>www.youtube.com/user/SchneiderCorporate</w:t>
        </w:r>
      </w:hyperlink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87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tv.schneider-electric.com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8"/>
        <w:ind w:left="446" w:right="0" w:firstLine="0"/>
        <w:jc w:val="left"/>
        <w:rPr>
          <w:b/>
          <w:sz w:val="20"/>
        </w:rPr>
      </w:pPr>
      <w:r>
        <w:rPr>
          <w:b/>
          <w:color w:val="2EA836"/>
          <w:sz w:val="20"/>
        </w:rPr>
        <w:t>Читайте наши блоги</w:t>
      </w:r>
    </w:p>
    <w:p>
      <w:pPr>
        <w:spacing w:line="271" w:lineRule="auto" w:before="87"/>
        <w:ind w:left="446" w:right="88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Обсуждаем проблемы и тенденции DCIM и приглашаем вас присоединиться.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Blog.schneider-electric.com/datacenter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8"/>
        <w:ind w:left="446" w:right="0" w:firstLine="0"/>
        <w:jc w:val="left"/>
        <w:rPr>
          <w:b/>
          <w:sz w:val="20"/>
        </w:rPr>
      </w:pPr>
      <w:r>
        <w:rPr>
          <w:b/>
          <w:color w:val="2EA836"/>
          <w:sz w:val="20"/>
        </w:rPr>
        <w:t>Следуйте за нами на Twitter</w:t>
      </w:r>
    </w:p>
    <w:p>
      <w:pPr>
        <w:spacing w:line="271" w:lineRule="auto" w:before="87"/>
        <w:ind w:left="446" w:right="1020" w:firstLine="0"/>
        <w:jc w:val="left"/>
        <w:rPr>
          <w:sz w:val="20"/>
        </w:rPr>
      </w:pPr>
      <w:r>
        <w:rPr>
          <w:color w:val="4D555B"/>
          <w:spacing w:val="-4"/>
          <w:w w:val="105"/>
          <w:sz w:val="20"/>
        </w:rPr>
        <w:t>За </w:t>
      </w:r>
      <w:r>
        <w:rPr>
          <w:color w:val="4D555B"/>
          <w:w w:val="105"/>
          <w:sz w:val="20"/>
        </w:rPr>
        <w:t>обновления всех новостей о StruxureWare для центров обработки данных.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www-twitter.com/StruxureWare_DC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8"/>
        <w:ind w:left="446" w:right="0" w:firstLine="0"/>
        <w:jc w:val="left"/>
        <w:rPr>
          <w:b/>
          <w:sz w:val="20"/>
        </w:rPr>
      </w:pPr>
      <w:r>
        <w:rPr>
          <w:b/>
          <w:color w:val="2EA836"/>
          <w:sz w:val="20"/>
        </w:rPr>
        <w:t>Нужна дополнительная информация?</w:t>
      </w:r>
    </w:p>
    <w:p>
      <w:pPr>
        <w:spacing w:line="271" w:lineRule="auto" w:before="87"/>
        <w:ind w:left="446" w:right="542" w:firstLine="0"/>
        <w:jc w:val="left"/>
        <w:rPr>
          <w:sz w:val="20"/>
        </w:rPr>
      </w:pPr>
      <w:r>
        <w:rPr>
          <w:color w:val="4D555B"/>
          <w:w w:val="105"/>
          <w:sz w:val="20"/>
        </w:rPr>
        <w:t>Посетите наши веб-страницы или службу поддержки DCIM, чтобы получить ответы на свои вопросы.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hyperlink r:id="rId12">
        <w:r>
          <w:rPr>
            <w:b/>
            <w:color w:val="4D555B"/>
            <w:w w:val="105"/>
            <w:sz w:val="20"/>
          </w:rPr>
          <w:t>www.schneider-electric.com/dcim</w:t>
        </w:r>
      </w:hyperlink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87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DCIMsupport.apc.com</w:t>
      </w: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446" w:right="0" w:firstLine="0"/>
        <w:jc w:val="left"/>
        <w:rPr>
          <w:b/>
          <w:sz w:val="20"/>
        </w:rPr>
      </w:pPr>
      <w:r>
        <w:rPr>
          <w:b/>
          <w:color w:val="2EA836"/>
          <w:w w:val="105"/>
          <w:sz w:val="20"/>
        </w:rPr>
        <w:t>Хотите узнать больше о StruxureOn?</w:t>
      </w:r>
    </w:p>
    <w:p>
      <w:pPr>
        <w:spacing w:before="105"/>
        <w:ind w:left="446" w:right="0" w:firstLine="0"/>
        <w:jc w:val="left"/>
        <w:rPr>
          <w:b/>
          <w:sz w:val="18"/>
        </w:rPr>
      </w:pPr>
      <w:r>
        <w:rPr>
          <w:b/>
          <w:color w:val="4D555B"/>
          <w:sz w:val="18"/>
        </w:rPr>
        <w:t>https://struxureon.com/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0" w:right="0"/>
          <w:cols w:num="2" w:equalWidth="0">
            <w:col w:w="6049" w:space="40"/>
            <w:col w:w="615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01"/>
        <w:ind w:left="887" w:right="0" w:firstLine="0"/>
        <w:jc w:val="left"/>
        <w:rPr>
          <w:b/>
          <w:sz w:val="16"/>
        </w:rPr>
      </w:pPr>
      <w:r>
        <w:rPr/>
        <w:pict>
          <v:group style="position:absolute;margin-left:0pt;margin-top:-90.013695pt;width:612pt;height:79.55pt;mso-position-horizontal-relative:page;mso-position-vertical-relative:paragraph;z-index:15737344" coordorigin="0,-1800" coordsize="12240,1591">
            <v:rect style="position:absolute;left:0;top:-1801;width:12240;height:1591" filled="true" fillcolor="#979ea5" stroked="false">
              <v:fill type="solid"/>
            </v:rect>
            <v:shape style="position:absolute;left:7657;top:-1118;width:492;height:251" type="#_x0000_t75" stroked="false">
              <v:imagedata r:id="rId21" o:title=""/>
            </v:shape>
            <v:shape style="position:absolute;left:8252;top:-1149;width:439;height:281" coordorigin="8252,-1148" coordsize="439,281" path="m8278,-1118l8252,-1118,8252,-867,8278,-867,8278,-1118xm8691,-1148l8665,-1148,8665,-996,8669,-989,8686,-989,8691,-996,8691,-1148xe" filled="true" fillcolor="#ffffff" stroked="false">
              <v:path arrowok="t"/>
              <v:fill type="solid"/>
            </v:shape>
            <v:shape style="position:absolute;left:8311;top:-1051;width:150;height:184" type="#_x0000_t75" stroked="false">
              <v:imagedata r:id="rId22" o:title=""/>
            </v:shape>
            <v:shape style="position:absolute;left:8548;top:-1176;width:2601;height:311" coordorigin="8549,-1175" coordsize="2601,311" path="m8810,-995l8803,-1038,8783,-1075,8752,-1103,8714,-1121,8714,-1096,8743,-1081,8766,-1058,8781,-1029,8786,-995,8778,-954,8755,-920,8721,-897,8679,-888,8638,-897,8604,-920,8581,-954,8573,-995,8578,-1028,8592,-1057,8614,-1079,8642,-1095,8642,-1120,8605,-1102,8575,-1074,8556,-1037,8549,-995,8559,-944,8587,-903,8629,-875,8679,-864,8730,-875,8772,-903,8800,-944,8810,-995xm8986,-986l8986,-995,8984,-1007,8980,-1020,8971,-1032,8964,-1039,8953,-1045,8939,-1049,8921,-1051,8898,-1048,8881,-1041,8869,-1031,8860,-1021,8860,-1045,8856,-1049,8853,-1051,8851,-1051,8837,-1051,8837,-867,8851,-867,8853,-868,8857,-870,8860,-873,8860,-966,8861,-981,8863,-992,8866,-1002,8871,-1011,8879,-1019,8898,-1030,8909,-1033,8919,-1033,8930,-1031,8940,-1028,8949,-1023,8955,-1016,8962,-1007,8963,-994,8963,-873,8967,-870,8970,-868,8972,-867,8986,-867,8986,-986xm9678,-959l9654,-1018,9602,-1049,9549,-1070,9525,-1096,9528,-1106,9537,-1114,9551,-1119,9569,-1120,9589,-1119,9610,-1114,9635,-1106,9665,-1094,9665,-1152,9638,-1163,9612,-1170,9588,-1174,9563,-1175,9515,-1169,9479,-1152,9456,-1124,9448,-1089,9472,-1029,9525,-998,9577,-978,9601,-950,9598,-939,9590,-930,9576,-924,9557,-923,9533,-925,9509,-931,9484,-943,9454,-961,9454,-897,9476,-886,9500,-876,9528,-870,9563,-868,9609,-874,9646,-891,9670,-920,9678,-959xm9879,-927l9861,-921,9846,-916,9834,-914,9822,-913,9797,-917,9778,-929,9766,-948,9761,-973,9766,-997,9778,-1016,9798,-1027,9824,-1031,9837,-1031,9850,-1028,9863,-1024,9876,-1018,9876,-1065,9860,-1071,9842,-1075,9824,-1077,9808,-1078,9762,-1071,9725,-1049,9702,-1015,9693,-972,9701,-929,9725,-896,9762,-875,9811,-868,9827,-868,9843,-871,9861,-875,9879,-881,9879,-927xm10581,-962l10576,-996,10574,-1012,10556,-1040,10552,-1048,10524,-1066,10524,-996,10436,-996,10441,-1014,10441,-1015,10450,-1029,10463,-1037,10480,-1040,10497,-1037,10510,-1028,10520,-1014,10524,-996,10524,-1066,10518,-1071,10476,-1078,10433,-1070,10399,-1048,10376,-1015,10369,-972,10377,-929,10401,-896,10438,-875,10486,-868,10502,-868,10524,-871,10550,-879,10577,-895,10577,-906,10577,-934,10556,-921,10538,-912,10520,-907,10502,-906,10475,-909,10454,-921,10440,-938,10435,-962,10581,-962xm10669,-1075l10605,-1075,10605,-871,10669,-871,10669,-1075xm10910,-1172l10847,-1172,10847,-1066,10847,-1024,10847,-927,10837,-919,10828,-914,10818,-911,10809,-910,10788,-915,10773,-927,10763,-947,10760,-972,10763,-999,10773,-1019,10789,-1032,10811,-1036,10822,-1036,10837,-1031,10847,-1024,10847,-1066,10834,-1071,10821,-1075,10807,-1078,10794,-1078,10754,-1071,10723,-1049,10702,-1016,10695,-973,10702,-931,10722,-898,10752,-875,10790,-867,10805,-869,10820,-872,10833,-878,10847,-888,10847,-871,10910,-871,10910,-888,10910,-910,10910,-1036,10910,-1066,10910,-1172xm11149,-962l11145,-996,11143,-1012,11125,-1040,11120,-1048,11093,-1066,11093,-996,11005,-996,11009,-1014,11009,-1015,11018,-1029,11032,-1037,11049,-1040,11066,-1037,11079,-1028,11089,-1014,11093,-996,11093,-1066,11086,-1071,11044,-1078,11001,-1070,10967,-1048,10945,-1015,10937,-972,10946,-929,10969,-896,11007,-875,11055,-868,11071,-868,11093,-871,11118,-879,11146,-895,11146,-906,11146,-934,11125,-921,11107,-912,11089,-907,11071,-906,11043,-909,11023,-921,11009,-938,11004,-962,11149,-962xe" filled="true" fillcolor="#ffffff" stroked="false">
              <v:path arrowok="t"/>
              <v:fill type="solid"/>
            </v:shape>
            <v:shape style="position:absolute;left:11180;top:-1079;width:172;height:208" type="#_x0000_t75" stroked="false">
              <v:imagedata r:id="rId8" o:title=""/>
            </v:shape>
            <v:shape style="position:absolute;left:9905;top:-1175;width:768;height:303" coordorigin="9906,-1174" coordsize="768,303" path="m10109,-1001l10103,-1036,10086,-1060,10062,-1074,10035,-1078,10017,-1076,10000,-1070,9985,-1060,9970,-1044,9970,-1044,9970,-1172,9906,-1172,9906,-872,9970,-872,9970,-1001,9980,-1015,9991,-1024,10001,-1030,10012,-1032,10026,-1029,10036,-1021,10043,-1007,10045,-987,10045,-916,10061,-923,10077,-929,10093,-933,10109,-936,10109,-1001xm10343,-1001l10336,-1038,10318,-1062,10294,-1075,10269,-1078,10251,-1077,10234,-1071,10218,-1060,10203,-1046,10203,-1075,10139,-1075,10139,-936,10157,-933,10174,-927,10191,-919,10203,-907,10203,-1002,10215,-1018,10226,-1029,10236,-1034,10248,-1036,10260,-1034,10270,-1026,10277,-1014,10279,-995,10279,-872,10343,-872,10343,-1001xm10674,-1147l10672,-1160,10665,-1170,10654,-1174,10641,-1174,10626,-1168,10614,-1158,10605,-1145,10601,-1132,10602,-1119,10609,-1110,10620,-1105,10634,-1105,10648,-1111,10661,-1121,10670,-1134,10674,-1147xe" filled="true" fillcolor="#ffffff" stroked="false">
              <v:path arrowok="t"/>
              <v:fill type="solid"/>
            </v:shape>
            <v:shape style="position:absolute;left:10279;top:-836;width:102;height:175" type="#_x0000_t75" stroked="false">
              <v:imagedata r:id="rId23" o:title=""/>
            </v:shape>
            <v:rect style="position:absolute;left:10439;top:-837;width:23;height:176" filled="true" fillcolor="#ffffff" stroked="false">
              <v:fill type="solid"/>
            </v:rect>
            <v:shape style="position:absolute;left:10520;top:-779;width:104;height:120" type="#_x0000_t75" stroked="false">
              <v:imagedata r:id="rId24" o:title=""/>
            </v:shape>
            <v:shape style="position:absolute;left:9210;top:-1370;width:2085;height:765" coordorigin="9211,-1369" coordsize="2085,765" path="m9224,-1369l9211,-1369,9211,-605,9224,-605,9224,-1369xm10214,-813l10212,-838,10209,-845,10204,-860,10190,-878,10172,-888,10172,-845,10164,-809,10123,-809,10121,-808,10119,-805,10119,-805,10119,-803,10098,-726,10090,-706,10072,-689,10047,-676,10017,-672,9956,-672,9967,-711,10010,-711,10013,-713,10015,-716,10016,-717,10017,-719,10018,-720,10034,-788,10042,-808,10058,-827,10081,-840,10111,-845,10172,-845,10172,-888,10149,-901,10096,-901,10039,-881,9983,-841,9975,-833,9968,-825,9961,-817,9955,-808,9993,-808,9984,-783,9939,-783,9934,-775,9930,-768,9927,-760,9981,-760,9972,-735,9920,-735,9916,-707,9917,-680,9925,-657,9939,-638,9980,-616,10033,-616,10090,-636,10140,-672,10145,-676,10154,-685,10162,-694,10169,-703,10176,-713,10128,-713,10135,-738,10192,-738,10196,-746,10200,-753,10203,-761,10141,-761,10148,-786,10211,-786,10214,-813xm10775,-688l10763,-683,10754,-680,10744,-680,10728,-683,10716,-690,10708,-702,10705,-718,10708,-734,10715,-747,10726,-755,10741,-758,10750,-758,10759,-755,10772,-746,10772,-771,10761,-775,10752,-779,10739,-779,10715,-774,10698,-762,10686,-742,10682,-716,10687,-693,10698,-675,10717,-663,10741,-659,10753,-659,10767,-662,10775,-665,10775,-688xm10918,-688l10909,-682,10900,-679,10886,-679,10876,-683,10876,-756,10912,-756,10912,-776,10876,-776,10876,-800,10833,-758,10833,-756,10853,-756,10853,-695,10855,-681,10863,-669,10874,-662,10890,-659,10898,-659,10910,-662,10918,-667,10918,-688xm11060,-765l11051,-774,11042,-779,11033,-779,11025,-777,11017,-772,11008,-763,11000,-750,10999,-750,10999,-776,10976,-776,10976,-661,10999,-661,10999,-721,11001,-735,11007,-746,11016,-754,11027,-757,11032,-757,11041,-752,11048,-745,11060,-765xm11143,-776l11121,-776,11121,-661,11143,-661,11143,-776xm11146,-812l11142,-823,11135,-825,11121,-817,11117,-809,11121,-798,11129,-796,11142,-804,11146,-812xm11296,-688l11284,-683,11275,-680,11265,-680,11249,-683,11237,-690,11229,-702,11226,-718,11229,-734,11236,-747,11247,-755,11261,-758,11271,-758,11280,-755,11293,-746,11293,-771,11282,-775,11273,-779,11260,-779,11236,-774,11218,-762,11207,-742,11203,-716,11207,-693,11219,-675,11238,-663,11261,-659,11273,-659,11288,-662,11296,-665,11296,-688xe" filled="true" fillcolor="#ffffff" stroked="false">
              <v:path arrowok="t"/>
              <v:fill type="solid"/>
            </v:shape>
            <v:shape style="position:absolute;left:0;top:-1801;width:12240;height:15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307" w:lineRule="auto" w:before="0"/>
                      <w:ind w:left="887" w:right="974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Boston ONE Campus 800 Federal Street</w:t>
                    </w:r>
                  </w:p>
                  <w:p>
                    <w:pPr>
                      <w:spacing w:line="307" w:lineRule="auto" w:before="0"/>
                      <w:ind w:left="887" w:right="9206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Андовер, Массачусетс 01810 </w:t>
                    </w:r>
                    <w:hyperlink r:id="rId25"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www.schneider-electric.com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D555B"/>
          <w:w w:val="105"/>
          <w:sz w:val="16"/>
        </w:rPr>
        <w:t>© 2017 Schneider Electric. Все права защищены.</w:t>
      </w:r>
    </w:p>
    <w:sectPr>
      <w:type w:val="continuous"/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142pt;margin-top:32.832001pt;width:612.283pt;height:66.614pt;mso-position-horizontal-relative:page;mso-position-vertical-relative:page;z-index:-16156160" filled="true" fillcolor="#2ea836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5.187988pt;margin-top:17.3486pt;width:127.75pt;height:12.1pt;mso-position-horizontal-relative:page;mso-position-vertical-relative:page;z-index:-1615564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17"/>
                  </w:rPr>
                </w:pPr>
                <w:hyperlink r:id="rId1">
                  <w:r>
                    <w:rPr>
                      <w:b/>
                      <w:color w:val="4D555B"/>
                      <w:w w:val="105"/>
                      <w:sz w:val="13"/>
                    </w:rPr>
                    <w:t>www.schneider-electric.com/dcim</w:t>
                  </w:r>
                </w:hyperlink>
                <w:r>
                  <w:rPr>
                    <w:b/>
                    <w:color w:val="4D555B"/>
                    <w:w w:val="105"/>
                    <w:sz w:val="1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2EA836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3.362202pt;margin-top:19.279699pt;width:99.75pt;height:9.7pt;mso-position-horizontal-relative:page;mso-position-vertical-relative:page;z-index:-16155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4D555B"/>
                    <w:w w:val="105"/>
                    <w:sz w:val="13"/>
                  </w:rPr>
                  <w:t>StruxureWare для центров обработки данных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&gt;"/>
      <w:lvlJc w:val="left"/>
      <w:pPr>
        <w:ind w:left="622" w:hanging="176"/>
      </w:pPr>
      <w:rPr>
        <w:rFonts w:hint="default" w:ascii="Arial" w:hAnsi="Arial" w:eastAsia="Arial" w:cs="Arial"/>
        <w:b/>
        <w:bCs/>
        <w:color w:val="4D555B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3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9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2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5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8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1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4" w:hanging="17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&gt;"/>
      <w:lvlJc w:val="left"/>
      <w:pPr>
        <w:ind w:left="879" w:hanging="173"/>
      </w:pPr>
      <w:rPr>
        <w:rFonts w:hint="default" w:ascii="Arial" w:hAnsi="Arial" w:eastAsia="Arial" w:cs="Arial"/>
        <w:color w:val="4D555B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3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7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64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1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5" w:hanging="17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0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" w:hanging="1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1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1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2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2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3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3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84" w:hanging="11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4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" w:hanging="1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3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0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7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4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1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8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5" w:hanging="11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2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" w:hanging="1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7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1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5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9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3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7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1" w:hanging="11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gt;"/>
      <w:lvlJc w:val="left"/>
      <w:pPr>
        <w:ind w:left="258" w:hanging="191"/>
      </w:pPr>
      <w:rPr>
        <w:rFonts w:hint="default" w:ascii="Arial" w:hAnsi="Arial" w:eastAsia="Arial" w:cs="Arial"/>
        <w:color w:val="4D555B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1" w:hanging="139"/>
      </w:pPr>
      <w:rPr>
        <w:rFonts w:hint="default" w:ascii="Arial" w:hAnsi="Arial" w:eastAsia="Arial" w:cs="Arial"/>
        <w:color w:val="4D555B"/>
        <w:w w:val="10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6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4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11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29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7" w:hanging="139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4"/>
      <w:ind w:left="887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2"/>
      <w:ind w:left="1147"/>
      <w:outlineLvl w:val="2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09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896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1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schneider-electric.com/dcim" TargetMode="External"/><Relationship Id="rId13" Type="http://schemas.openxmlformats.org/officeDocument/2006/relationships/header" Target="header1.xml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yperlink" Target="http://www.youtube.com/user/SchneiderCorporate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yperlink" Target="http://www.schneider-electric.com/" TargetMode="External"/><Relationship Id="rId2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neider-electric.com/dci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2021-01-15T05:51:39Z</dcterms:created>
  <dcterms:modified xsi:type="dcterms:W3CDTF">2021-01-15T05:51:39Z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2021-01-15T00:00:00Z</vt:filetime>
  </property>
</Properties>
</file>