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9F" w:rsidRDefault="00D6449F" w:rsidP="00D6449F">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Изменение № 1 СП 47.13330.2012</w:t>
      </w:r>
    </w:p>
    <w:p w:rsidR="00D6449F" w:rsidRDefault="00D6449F" w:rsidP="00D6449F">
      <w:pPr>
        <w:spacing w:after="0" w:line="240" w:lineRule="auto"/>
        <w:jc w:val="center"/>
        <w:outlineLvl w:val="0"/>
        <w:rPr>
          <w:rFonts w:ascii="Times New Roman" w:eastAsia="Times New Roman" w:hAnsi="Times New Roman" w:cs="Times New Roman"/>
          <w:b/>
          <w:bCs/>
          <w:kern w:val="36"/>
          <w:sz w:val="32"/>
          <w:szCs w:val="32"/>
          <w:lang w:eastAsia="ru-RU"/>
        </w:rPr>
      </w:pPr>
      <w:r w:rsidRPr="00D6449F">
        <w:rPr>
          <w:rFonts w:ascii="Times New Roman" w:eastAsia="Times New Roman" w:hAnsi="Times New Roman" w:cs="Times New Roman"/>
          <w:b/>
          <w:bCs/>
          <w:kern w:val="36"/>
          <w:sz w:val="32"/>
          <w:szCs w:val="32"/>
          <w:lang w:eastAsia="ru-RU"/>
        </w:rPr>
        <w:t>«Инженерн</w:t>
      </w:r>
      <w:r>
        <w:rPr>
          <w:rFonts w:ascii="Times New Roman" w:eastAsia="Times New Roman" w:hAnsi="Times New Roman" w:cs="Times New Roman"/>
          <w:b/>
          <w:bCs/>
          <w:kern w:val="36"/>
          <w:sz w:val="32"/>
          <w:szCs w:val="32"/>
          <w:lang w:eastAsia="ru-RU"/>
        </w:rPr>
        <w:t>ые изыскания для строительства.</w:t>
      </w:r>
    </w:p>
    <w:p w:rsidR="00D6449F" w:rsidRPr="00D6449F" w:rsidRDefault="00D6449F" w:rsidP="00D6449F">
      <w:pPr>
        <w:spacing w:after="0" w:line="240" w:lineRule="auto"/>
        <w:jc w:val="center"/>
        <w:outlineLvl w:val="0"/>
        <w:rPr>
          <w:rFonts w:ascii="Times New Roman" w:eastAsia="Times New Roman" w:hAnsi="Times New Roman" w:cs="Times New Roman"/>
          <w:b/>
          <w:bCs/>
          <w:kern w:val="36"/>
          <w:sz w:val="32"/>
          <w:szCs w:val="32"/>
          <w:lang w:eastAsia="ru-RU"/>
        </w:rPr>
      </w:pPr>
      <w:r w:rsidRPr="00D6449F">
        <w:rPr>
          <w:rFonts w:ascii="Times New Roman" w:eastAsia="Times New Roman" w:hAnsi="Times New Roman" w:cs="Times New Roman"/>
          <w:b/>
          <w:bCs/>
          <w:kern w:val="36"/>
          <w:sz w:val="32"/>
          <w:szCs w:val="32"/>
          <w:lang w:eastAsia="ru-RU"/>
        </w:rPr>
        <w:t>Основные положения. Актуализированная редакция СНиП 11-02-96»</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 При выполнении инженерных изысканий должны соблюдаться нормативные правовые акты Российской Федерации и ее субъектов, а также требования нормативных документов, принятых исполнителем и/или застройщиком или техническим заказчиком.</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Инженерные изыскания, выполняемые для объектов капитального строительства отдельных отраслей промышленности, должны учитывать дополнительные требования соответствующих сводов правил по проектированию, стандарты организаций, а при необходимости - требования статьи 6, пункта 8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конце пункта 4.2</w:t>
      </w:r>
      <w:r w:rsidRPr="00D6449F">
        <w:rPr>
          <w:rFonts w:ascii="Times New Roman" w:eastAsia="Times New Roman" w:hAnsi="Times New Roman" w:cs="Times New Roman"/>
          <w:b/>
          <w:bCs/>
          <w:sz w:val="24"/>
          <w:szCs w:val="24"/>
          <w:lang w:eastAsia="ru-RU"/>
        </w:rPr>
        <w:t xml:space="preserve"> </w:t>
      </w:r>
      <w:r w:rsidRPr="00D6449F">
        <w:rPr>
          <w:rFonts w:ascii="Times New Roman" w:eastAsia="Times New Roman" w:hAnsi="Times New Roman" w:cs="Times New Roman"/>
          <w:sz w:val="24"/>
          <w:szCs w:val="24"/>
          <w:lang w:eastAsia="ru-RU"/>
        </w:rPr>
        <w:t>добавлены 2 абзацы)</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 При выполнении инженерных изысканий должны соблюдаться нормативные правовые акты Российской Федерации и ее субъектов, а также требования нормативных документов, принятых исполнителем и/или застройщиком или техническим заказчиком.</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Инженерные изыскания, выполняемые для объектов капитального строительства отдельных отраслей промышленности, должны учитывать дополнительные требования соответствующих сводов правил по проектированию, стандарты организаций, а при необходимости - требования статьи 6, пункта 8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При необходимости в соответствии со статьей 13 [3] допускается применение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зарегистрированных в Федеральном информационном фонде технических регламентов и стандартов.</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При использовании стандартных зарубежных технологий в методике работ следует привести ссылку на соответствующий стандарт, дать полное наименование стандарта (на языке оригинала и перевод, зарегистрированный в Федеральном информационном фонде), краткое описание метода, используемую аппаратуру, точность определяемых параметров, сведения о методике интерпретации получаемых данных и метрологическом обеспечении средств измерения.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4.7 Основные виды инженерных изысканий (инженерно-геодезические, инженерно-геологические, инженерно-геотехнические, инженерно-гидрометеорологические и инженерно-экологические) выполняют раздельно или в комплексе.</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lastRenderedPageBreak/>
        <w:t>К инженерным изысканиям для строительства также относятся следующие специальные виды инженерных изысканий: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геотехнические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обследования состояния грунтов оснований зданий и сооружений; поиск и разведка подземных вод для целей водоснабжения;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локальный мониторинг компонентов окружающей среды;</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разведка грунтовых строительных материалов; локальные обследования загрязнения грунтов и грунтовых вод.</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Кроме того, в случаях, предусмотренных законодательством Российской Федерации, профильными организациями, имеющими необходимое оборудование и специалистов, на субподрядных условиях могут выполняться следующие работы:</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поиск, обследование существующих памятников культурного наследия, археологические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поиск, обнаружение и определение мест воинских захоронений;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поиск, обследование территории на наличие взрывоопасных предметов в местах боевых действий и на территориях бывших воинских формирований.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Выполнение перечисленных обследований регламентируется Федеральным законодательством, а также соответствующими нормами и инструкциями.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Состав инженерных изысканий, методы выполнения и объемы отдельных видов работ, устанавливаются программой инженерных изысканий, разработанной на основе задания застройщика или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(Исключены с 7 по 11 абзацы)</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4.7 Основные виды инженерных изысканий (инженерно-геодезические, инженерно-геологические, инженерно-геотехнические, инженерно-гидрометеорологические и инженерно-экологические) выполняют раздельно или в комплексе.</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 инженерным изысканиям для строительства также относятся следующие специальные виды инженерных изысканий: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геотехнические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обследования состояния грунтов оснований зданий и сооружений; поиск и разведка подземных вод для целей водоснабжения;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локальный мониторинг компонентов окружающей среды;</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разведка грунтовых строительных материалов; локальные обследования загрязнения грунтов и грунтовых вод.</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Состав инженерных изысканий, методы выполнения и объемы отдельных видов работ, устанавливаются программой инженерных изысканий, разработанной на основе задания застройщика или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4.18 Результаты инженерных изысканий должны соответствовать требованиям 4.6, оформляться в виде технического отчета в соответствии с требованиями 5.6, 6.7, 7.6, 8.5, 9.7 и 10.8.</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Технический отчет передается застройщику или техническому заказчику в соответствии с условиями договора.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Результаты инженерных изысканий по отдельным видам работ, исследованиям, стационарным наблюдениям или мониторингу могут быть составлены в виде заключений, содержащих полученные материалы, данные, выводы и рекомендации.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(Добавлен второй абзац)</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4.18 Результаты инженерных изысканий должны соответствовать требованиям 4.6, оформляться в виде технического отчета в соответствии с требованиями 5.6, 6.7, 7.6, 8.5, 9.7 и 10.8.</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Технический отчет должен оформляться в соответствии с ГОСТ 2.105 и ГОСТ Р 21.1101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Технический отчет передается застройщику или техническому заказчику в соответствии с условиями договора.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Результаты инженерных изысканий по отдельным видам работ, исследованиям, стационарным наблюдениям или мониторингу могут быть составлены в виде заключений, содержащих полученные материалы, данные, выводы и рекомендации.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 Застройщик обеспечивает проведение оценки соответствия инженерных изысканий на предмет их достаточности и достоверности в соответствии с требованиями 4.2-4.6.</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Технический контроль полевых и камеральных работ, включая приемку полевых материалов, является оценкой достоверности инженерных изысканий. Технический отчет по техническому (строительному) контролю должен содержать следующие документы: акты полевого контроля; акты приемки полевых и лабораторных материалов; фотоматериалы подтверждения выполненных работ.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Достоверность и качество инженерных изысканий определяют в соответствии с внутренней системой контроля качества исполнителя (внутренний контроль), а также техническим контролем инженерных изысканий застройщиком или техническим заказчиком либо привлекаемым ими на основании договора физическим или юридическим лицом (внешний контроль).</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(Новая редакция пункта)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 Застройщик обеспечивает проведение оценки соответствия инженерных изысканий требованиям технических регламентов и задания на выполнение инженерных изысканий в соответствии с 4.2-4.6.</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4.20.1 Достаточность и достоверность инженерных изысканий определяют в соответствии с внутренней системой контроля качества исполнителя (внутренний контроль), а также техническим контролем инженерных изысканий застройщиком (техническим заказчиком) либо привлекаемым им на основании договора физическим или юридическим лицом (внешний контроль).</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4.20.2 Контроль изыскательских работ, оказывающих влияние на безопасность объектов капитального строительства, который не может быть проведен после их завершения, производится в процессе их выполнения. По результатам внутреннего и внешнего контроля составляются акты освидетельствования указанных работ, которые прикладываются к техническому отчету.</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4.20.3 Результаты внутреннего контроля должны включать следующие документы: акты полевого контроля; акты приемки полевых и лабораторных материалов; фотоматериалы подтверждения выполненных работ.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4.20.4 Застройщик (технический заказчик)  контролирует любые виды работ исполнителя, предусмотренные программой выполнения инженерных изысканий, по своему усмотрению, в том числе и осуществление исполнителем внутреннего контроля.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4.20.5 Замечания застройщика (технического заказчика) или привлекаемого застройщиком (техническим заказчиком) для проведения технического контроля лица должны быть оформлены в письменной форме. Об устранении обнаруженных недостатков составляется акт, который подписывается лицом, предъявившим замечания, исполнителем и лицом, представляющим застройщика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4.20.6 Порядок проведения технического контроля может устанавливаться нормативными правовыми актами Российской Федерации или стандартами организаций.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Раздел 4 добавлен п. 4.23)</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 4.23 Возможность использования результатов и материалов ранее выполненных инженерных изысканий для принятия проектных решений определяют их сроком давности, который не должен превышать:</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для инженерно-геодезических изысканий – два года.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для инженерно-геологических изысканий – три года.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для инженерно-гидрометеорологических изысканий – два года. Фактический материал, используемый для получения гидрометеорологических характеристик, используют независимо от срока давности их получения.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исходные данные для оценки экологического состояния исследуемой территории или акватории, в зависимости от компонентов окружающей среды для атмосферы – один год, для гидросферы – два года, для почв и грунтов – три года; для сведений о техногенных нагрузках, получаемые в архивах территориальных органов архитектуры и градостроительства, – пять лет. Материалы состояния компонентов природной среды для оценки динамики изменения экологической обстановки используют независимо от срока давности их получения.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Если для принятия проектных решений используют материалы и результаты инженерных изысканий, превышающие сроки давности, необходимо выполнить рекогносцировочные обследования и контрольные работы для подтверждения их пригодности.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5.1.1.1 Инженерно-геодезические изыскания должны выполняться в соответствии с требованиями 4.2, других сводов правил, регламентирующих геодезическую и картографическую деятельность в соответствии с действующим законодательством Российской Федерации.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(Новая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5.1.1.1 Инженерно-геодезические изыскания должны выполняться в соответствии с требованиями 4.2, других сводов правил, регламентирующих геодезическую и картографическую деятельность в соответствии с действующим законодательством Российской Федерации, в том числе нормативно-технические документы в области геодезической и картографической деятельности, определенные [4].</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(ИСКЛЮЧИТЬ пункт)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5.1.3.5.3 Перенесенные в натуру и привязанные выработки (точки наблюдений) должны быть закреплены временными знаками и переданы ответственным представителям геологических, геофизических и других подразделений организаций, выполняющих инженерные изыскания.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5.1.3.5.4 В результате выполнения работ по перенесению в натуру и привязке инженерно-геологических выработок (точек наблюдений) в соответствии с заданием в технический отчет включают: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схему расположения выработок (точек наблюдений) или копии с карт или топографических планов;</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каталог координат и высот выработок (точек наблюдений);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схемы теодолитных и нивелирных ходов или схему привязки выработок (точек наблюдений) спутниковыми приемниками;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ведомости вычисления координат и высот выработок (точек наблюдений);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акты передачи, закрепленных знаками на местности выработок (точек наблюдений) ответственным представителям геологических, геофизических и других подразделений организации застройщика или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(Удалены последние 3 абзаца)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5.1.3.5.4 В результате выполнения работ по перенесению в натуру и привязке инженерно-геологических выработок (точек наблюдений) в соответствии с заданием в технический отчет включают: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схему расположения выработок (точек наблюдений) или копии с карт или топографических планов;</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каталог координат и высот выработок (точек наблюдений).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Таблица 6.4</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1117"/>
        <w:gridCol w:w="1667"/>
        <w:gridCol w:w="2127"/>
        <w:gridCol w:w="1928"/>
      </w:tblGrid>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Вид линейных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Ширина полосы трассы,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Расстояние между скважинами по трассе, 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Глубина скважин, м</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Железная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200-500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 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2 м ниже нормативной глубины промерзания грунта</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Автомобильная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200-500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center"/>
              <w:rPr>
                <w:rFonts w:ascii="Times New Roman" w:eastAsia="Times New Roman" w:hAnsi="Times New Roman" w:cs="Times New Roman"/>
                <w:sz w:val="24"/>
                <w:szCs w:val="24"/>
                <w:lang w:eastAsia="ru-RU"/>
              </w:rPr>
            </w:pP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Магистральный трубопровод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1-2 м ниже глубины заложения трубопровода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center"/>
              <w:rPr>
                <w:rFonts w:ascii="Times New Roman" w:eastAsia="Times New Roman" w:hAnsi="Times New Roman" w:cs="Times New Roman"/>
                <w:sz w:val="24"/>
                <w:szCs w:val="24"/>
                <w:lang w:eastAsia="ru-RU"/>
              </w:rPr>
            </w:pP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Эстакада для наземных коммуникаций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3-7</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Воздушная линия связи и электропередачи напряжением,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center"/>
              <w:rPr>
                <w:rFonts w:ascii="Times New Roman" w:eastAsia="Times New Roman" w:hAnsi="Times New Roman" w:cs="Times New Roman"/>
                <w:sz w:val="24"/>
                <w:szCs w:val="24"/>
                <w:lang w:eastAsia="ru-RU"/>
              </w:rPr>
            </w:pP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 35;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500-1000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3-5</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свыше 35</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500-1000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7-10</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Кабельная линия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500-1000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1-2 м ниже глубины заложения трубопровода (шпунта, острия свай)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1-2 м ниже нормативной глубины промерзания грунта</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Водопровод, канализация, теплосеть и газопровод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center"/>
              <w:rPr>
                <w:rFonts w:ascii="Times New Roman" w:eastAsia="Times New Roman" w:hAnsi="Times New Roman" w:cs="Times New Roman"/>
                <w:sz w:val="24"/>
                <w:szCs w:val="24"/>
                <w:lang w:eastAsia="ru-RU"/>
              </w:rPr>
            </w:pP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Подземные коллекторы - водосточный и коммуникационный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2 м ниже предполагаемой глубины заложения коллектора (шпунта, острия свай)</w:t>
            </w:r>
          </w:p>
        </w:tc>
      </w:tr>
      <w:tr w:rsidR="00D6449F" w:rsidRPr="00D6449F" w:rsidTr="00D6449F">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Примечания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 Минимальные расстояния следует принимать в сложных, а максимальные - в простых инженерно-геологических условиях.</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2 На участках распространения специфических грунтов, развития опасных геологических процессов следует уменьшать расстояние между выработками и закладывать поперечники из 3-5 выработок. Глубину выработок определяют по 6.3.7 и 6.3.8.</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 Если в коридоре трассы предполагается проектирование нескольких линейных объектов, то число и глубину выработок устанавливают исходя из минимальных расстояний и максимальных глубин для соответствующих линейных объектов.</w:t>
            </w:r>
          </w:p>
        </w:tc>
      </w:tr>
    </w:tbl>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(Удалены 5 и 6 строки)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Таблица 6.4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613"/>
        <w:gridCol w:w="1163"/>
        <w:gridCol w:w="1693"/>
        <w:gridCol w:w="2114"/>
        <w:gridCol w:w="1934"/>
      </w:tblGrid>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Вид линейных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Ширина полосы трассы,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Расстояние между скважинами по трассе, 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Глубина скважин, м</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Железная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200-500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 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2 м ниже нормативной глубины промерзания грунта</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Автомобильная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200-500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both"/>
              <w:rPr>
                <w:rFonts w:ascii="Times New Roman" w:eastAsia="Times New Roman" w:hAnsi="Times New Roman" w:cs="Times New Roman"/>
                <w:sz w:val="24"/>
                <w:szCs w:val="24"/>
                <w:lang w:eastAsia="ru-RU"/>
              </w:rPr>
            </w:pP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Магистральный трубопровод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300-500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1-2 м ниже глубины заложения трубопровода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both"/>
              <w:rPr>
                <w:rFonts w:ascii="Times New Roman" w:eastAsia="Times New Roman" w:hAnsi="Times New Roman" w:cs="Times New Roman"/>
                <w:sz w:val="24"/>
                <w:szCs w:val="24"/>
                <w:lang w:eastAsia="ru-RU"/>
              </w:rPr>
            </w:pP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Кабельная линия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500-1000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1-2 м ниже глубины заложения трубопровода (шпунта, острия свай)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1-2 м ниже нормативной глубины промерзания грунта</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Водопровод, канализация, теплосеть и газопровод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after="0" w:line="240" w:lineRule="auto"/>
              <w:jc w:val="both"/>
              <w:rPr>
                <w:rFonts w:ascii="Times New Roman" w:eastAsia="Times New Roman" w:hAnsi="Times New Roman" w:cs="Times New Roman"/>
                <w:sz w:val="24"/>
                <w:szCs w:val="24"/>
                <w:lang w:eastAsia="ru-RU"/>
              </w:rPr>
            </w:pP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Подземные коллекторы - водосточный и коммуникационный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100-200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711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 2 м ниже предполагаемой глубины заложения коллектора (шпунта, острия свай)</w:t>
            </w:r>
          </w:p>
        </w:tc>
      </w:tr>
    </w:tbl>
    <w:p w:rsidR="00BA4A01" w:rsidRPr="00D6449F" w:rsidRDefault="00BA4A01" w:rsidP="00BA4A01">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Примечания</w:t>
      </w:r>
    </w:p>
    <w:p w:rsidR="00BA4A01" w:rsidRPr="00D6449F" w:rsidRDefault="00BA4A01" w:rsidP="00BA4A01">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1 Минимальные расстояния следует принимать в сложных, а максимальные - в простых инженерно-геологических условиях.</w:t>
      </w:r>
    </w:p>
    <w:p w:rsidR="00BA4A01" w:rsidRPr="00D6449F" w:rsidRDefault="00BA4A01" w:rsidP="00BA4A01">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2 На участках распространения специфических грунтов, развития опасных геологических процессов следует уменьшать расстояние между выработками и закладывать поперечники из 3-5 выработок. Глубину выработок определяют по 6.3.7 и 6.3.8.</w:t>
      </w:r>
    </w:p>
    <w:p w:rsidR="00BA4A01" w:rsidRDefault="00BA4A01" w:rsidP="00BA4A01">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3 Если в коридоре трассы предполагается проектирование нескольких линейных объектов, то число и глубину выработок устанавливают исходя из минимальных расстояний и максимальных глубин для соответствующих линейных объектов.</w:t>
      </w:r>
    </w:p>
    <w:p w:rsidR="00BA4A01" w:rsidRDefault="00BA4A01"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b/>
          <w:bCs/>
          <w:sz w:val="24"/>
          <w:szCs w:val="24"/>
          <w:lang w:eastAsia="ru-RU"/>
        </w:rPr>
        <w:t>6.7.1 Технический отчет по результатам инженерно-геологических изысканий для подготовки проектной документации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b/>
          <w:bCs/>
          <w:sz w:val="24"/>
          <w:szCs w:val="24"/>
          <w:lang w:eastAsia="ru-RU"/>
        </w:rPr>
        <w:t>Графические приложения к техническому отчету</w:t>
      </w:r>
      <w:r w:rsidRPr="00D6449F">
        <w:rPr>
          <w:rFonts w:ascii="Times New Roman" w:eastAsia="Times New Roman" w:hAnsi="Times New Roman" w:cs="Times New Roman"/>
          <w:sz w:val="24"/>
          <w:szCs w:val="24"/>
          <w:lang w:eastAsia="ru-RU"/>
        </w:rPr>
        <w:t xml:space="preserve"> содержат: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карту фактического материала в целом по объекту или отдельных участков проектируемых зданий и сооружений или их групп с указанием их контуров и экспликации в соответствии со схемой генерального плана застройщика или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карту инженерно-геологических условий с таблицей характеристик выделенных таксонов;</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карту инженерно-геологического районирования (по заданию застройщика или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геологические и инженерно-геологические разрезы (в том числе по материалам изысканий прошлых лет и другим источникам);</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колонки или описания горных выработок (в том числе по материалам изысканий прошлых лет и другим источникам);</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инженерно-геологические разрезы по каждому участку отдельно или по ряду участков проектируемых зданий (сооружений) с указанием на них их контуров и подземной части;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графики зондирования, материалы обработки результатов полевых исследований грунтов, опытно-фильтрационных работ, геофизические разрезы и графики, графики стационарных наблюдений и другие графические материалы выполненных работ;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специальные карты (при необходимости) использования территории, техногенной нагрузки и др.</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По трассам линейных объектов прилагаются продольные профили с нанесенными на них инженерно-геологическими данными. На участках индивидуального проектирования, как правило, составляют паспорта сооружений. Колонки или описания геологических выработок, вошедшие в продольные профили, не прикладывают.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При составлении графической части технического отчета следует применять условные обозначения в соответствии с ГОСТ 21.302.</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разделе 6.7.1 в части требований к графическим приложениям к техническому отчету исключить абзац:</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«карту инженерно-геологических условий с таблицей характеристик выделенных таксонов».</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Таблица 7.3</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6618"/>
      </w:tblGrid>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Гидрометеорологические условия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Расчетные характеристики</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Режим морских акваторий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Максимальные и минимальные уровни и расход воды; внутригодовое распределение стока для лет различной водности, расчетные гидрографы паводков и половодий, границы затопления при расчетных уровнях; наивысший уровень ледохода; расчетные скорости течений; интенсивность русловых деформаций и прибрежных зон акваторий морей и водохранилищ, граница зоны деформации к концу прогнозируемого периода</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r>
    </w:tbl>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(Новая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Таблица 7.3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897"/>
        <w:gridCol w:w="6620"/>
      </w:tblGrid>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colFirst="0" w:colLast="1"/>
            <w:r w:rsidRPr="00D6449F">
              <w:rPr>
                <w:rFonts w:ascii="Times New Roman" w:eastAsia="Times New Roman" w:hAnsi="Times New Roman" w:cs="Times New Roman"/>
                <w:sz w:val="24"/>
                <w:szCs w:val="24"/>
                <w:lang w:eastAsia="ru-RU"/>
              </w:rPr>
              <w:t>Гидрометеорологические условия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Расчетные характеристики</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Режим морских акваторий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Максимальные и минимальные уровни моря заданных периодов повторяемости; характеристики волнения заданной обеспеченности; расчетные (максимальные) скорости течения, расчетная амплитуда и интенсивность плановых и вертикальных деформаций пляжа и подводного склона к концу прогнозируемого периода, оценка и прогноз интенсивности воздействий морских льдов на берега и дно</w:t>
            </w:r>
          </w:p>
        </w:tc>
      </w:tr>
      <w:tr w:rsidR="00D6449F" w:rsidRPr="00D6449F" w:rsidTr="00D644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6449F" w:rsidRPr="00D6449F" w:rsidRDefault="00D6449F" w:rsidP="00BA4A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w:t>
            </w:r>
          </w:p>
        </w:tc>
      </w:tr>
    </w:tbl>
    <w:bookmarkEnd w:id="0"/>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8.1.2 В состав инженерно-экологических изысканий входят следующие виды работ и исследований: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сбор, обработка и анализ опубликованных и фондовых материалов, данных о состоянии природной среды и предварительная оценка экологического состояния территории;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экологическое дешифрирование аэро- и космических снимков;</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маршрутные наблюдения;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проходка горных выработок для получения экологической информации;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эколого-гидрогеологические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эколого-гидрологические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эколого-геокриологические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почвенные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геоэкологическое опробование и оценка загрязненности атмосферного воздуха, почв, грунтов, поверхностных и подземных вод;</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лабораторные химико-аналитические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исследование и оценка радиационной обстановки;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газогеохимические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исследование и оценка физических воздействий;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биологические (флористические, геоботанические, фаунистические)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социально-экономические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санитарно-эпидемиологические и медико-биологические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археологические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камеральная обработка материалов и составление отчета.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Назначение и необходимость выполнения отдельных видов работ и исследований, условия их взаимозаменяемости и сочетания с другими видами изысканий устанавливают в программе инженерно-экологических изысканий в зависимости от вида разрабатываемой документации, степени экологической изученности территории, характера и уровня ответственности проектируемого объекта, особенностей природно-техногенной обстановки.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Оценку соответствия результатов инженерно-экологических изысканий выполняют в процессе экспертизы материалов изысканий.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пункте 8.1.2 из перечня исключить «археологические исследования»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8.2.3 Программа инженерно-экологических изысканий для обоснования документов территориального планирования, как правило, содержит: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краткую природно-хозяйственную характеристику объекта территориального планирования;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анализ официальной информации о состоянии окружающей среды и экологических ограничениях природопользования, содержащейся в информационных системах, фондах инженерных изысканий, органах государственной власти, профильных научно-исследовательских институтов и др., на достаточность исходной информации для подготовки документов территориального планирования;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предварительные сведения о районах ранее выявленного загрязнения окружающей среды;</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предварительные сведения о районах, на которые распространяются основные экологические ограничения природопользования, определенные законодательством Российской Федерации;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ориентировочный перечень проектируемых и перспективных особо охраняемых природных территорий и сведения о планируемых районах их предполагаемого размещения;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ориентировочный перечень участков, перспективных для обнаружения объектов археологического наследия, и сведения о районах их размещения;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перечень основных возможных воздействий, которые могут быть оказаны при строительстве объектов капитального строительства повышенного уровня ответственности и автомобильных и железных дорог общего пользования федерального значения и относящихся к ним транспортных инженерных сооружений, с указанием размеров зон возможного влияния таких объектов на состояние окружающей среды (по объектам-аналогам);</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методические подходы к оценке уязвимости природных комплексов объекта территориального планирования к основным прогнозируемым воздействиям.</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пункте 8.2.3 из перечня исключить «ориентировочный перечень участков, перспективных для обнаружения объектов археологического наследия, и сведения о районах их размещения»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8.3.2 Задание на инженерно-экологические изыскания для оценки и принятия технико-экономических решений относительно выбора площадки нового строительства или варианта трассы дополнительно к 4.12 должно содержать:</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расположении конкурентных вариантов размещения объекта (или расположение выбранной площадки);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объемы изъятия природных ресурсов (водных, лесных, минеральных), площади изъятия земель (предварительное закрепление, выкуп в постоянное пользование и т.п.), плодородных почв и др.;</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т.п.);</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возможных аварийных ситуациях, типах аварий, залповых выбросах и сбросах, возможных зонах и объектах воздействия, мероприятиях по их предупреждению и ликвидации;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ранее выполненных инженерно-экологических изысканиях и исследованиях, санитарно-эпидемиологических и медико-биологических исследованиях (заключениях) с приложением их результатов (при их наличии у застройщика или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основные требования к оценке воздействия на окружающую среду проектируемого объекта.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пункте 8.3.2 исключить 3 и 5 абзац)</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8.3.2 Задание на инженерно-экологические изыскания для оценки и принятия технико-экономических решений относительно выбора площадки нового строительства или варианта трассы дополнительно к 4.12 должно содержать:</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расположении конкурентных вариантов размещения объекта (или расположение выбранной площадки);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т.п.);</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ранее выполненных инженерно-экологических изысканиях и исследованиях, санитарно-эпидемиологических и медико-биологических исследованиях (заключениях) с приложением их результатов (при их наличии у застройщика или технического заказчика);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основные требования к оценке воздействия на окружающую среду проектируемого объекта.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8.3.3 Программа инженерно-экологических изысканий для оценки и принятия решений относительно площадки нового строительства или выбора варианта трассы дополнительно к 4.15 должна содержать:</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количественные характеристики);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данные об экологической изученности района изысканий;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обобщение результатов ранее выполненных инженерно-экологических изысканий и исследований, санитарно-эпидемиологических и медико-биологических исследований (заключений);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сведения о зонах особой чувствительности к предполагаемым воздействиям и наличии особо охраняемых природных территорий и иных природоохранных ограничений природопользования;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обоснование предполагаемых границ зоны воздействия (особенно по экологически опасным объектам) и, соответственно, границ территории изысканий;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обоснование состава и объемов изыскательских работ.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пункте 8.3.3 исключить 4 и 5 абзац)</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8.3.3 Программа инженерно-экологических изысканий для оценки и принятия решений относительно площадки нового строительства или выбора варианта трассы дополнительно к 4.15 должна содержать:</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количественные характеристики);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данные об экологической изученности района изысканий;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обоснование предполагаемых границ зоны воздействия (особенно по экологически опасным объектам) и, соответственно, границ территории изысканий;</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обоснование состава и объемов изыскательских работ.</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 8.4.9, второй абзац)</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Материалы по изучению растительного покрова должны содержать: сведения о распространении, функциональном значении и экологическом состоянии основных растительных сообществ, характеристику флоры, таксационные характеристики лесов, сведения о редких и уязвимых видах, их местонахождении и статусе охраны, об агроценозах (размещение, урожайность культур).</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(новая редакция п. 8.4.9, второй абзац)</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Материалы по изучению растительного покрова должны содержать: сведения о распространении, функциональном значении и экологическом состоянии основных растительных сообществ, характеристику флоры, сведения о редких и уязвимых видах, их местонахождении и статусе охраны, об агроценозах.</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ДЕЙСТВУЮЩАЯ РЕДАКЦИЯ</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xml:space="preserve">8.4.18 </w:t>
      </w:r>
      <w:r w:rsidRPr="00D6449F">
        <w:rPr>
          <w:rFonts w:ascii="Times New Roman" w:eastAsia="Times New Roman" w:hAnsi="Times New Roman" w:cs="Times New Roman"/>
          <w:b/>
          <w:bCs/>
          <w:sz w:val="24"/>
          <w:szCs w:val="24"/>
          <w:lang w:eastAsia="ru-RU"/>
        </w:rPr>
        <w:t>Радиационно-экологические исследования</w:t>
      </w:r>
      <w:r w:rsidRPr="00D6449F">
        <w:rPr>
          <w:rFonts w:ascii="Times New Roman" w:eastAsia="Times New Roman" w:hAnsi="Times New Roman" w:cs="Times New Roman"/>
          <w:sz w:val="24"/>
          <w:szCs w:val="24"/>
          <w:lang w:eastAsia="ru-RU"/>
        </w:rPr>
        <w:t xml:space="preserve"> при обосновании проектной документации выполняют с целью получения данных, необходимых для разработки соответствующих разделов проекта.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При этом территория исследований должна быть подвергнута, по возможности, сплошному радиометрическому прослушиванию. Определение мощности дозы гамма-излучения выполняют в контрольных точках, расположенных в узлах сети с шагом не менее 30x30 м (но не менее пяти точек на участок), а также в точках с наиболее характерными и максимальными показаниями поисковых радиометров. В случае обнаружения радиоактивного загрязнения следует незамедлительно поставить в известность местные органы власти.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Для определения удельной активности радионуклидов в грунтах, перемещаемых в ходе строительства, следует проводить послойный отбор проб из скважин до глубины проектируемой отметки подошвы фундамента. Определение удельной активности проводят по ГОСТ 30108.</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Оценку потенциальной радоноопасности на данном этапе проводят на основе непосредственных измерений плотности потока радона с поверхности грунта в пределах габаритов проектируемых сооружений. Точки измерения плотности потока радона должны располагаться в узлах сети с шагом не более 10x10 м, но не менее 10 точек на участке. При расстановке точек измерений плотности потока радона необходимо учитывать наличие на исследуемой территории разрывных нарушений, геодинамически активных зон, зон трещиноватости или линеаментов, являющихся основным условием формирования повышенных потоков радона из массива пород.</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В случае классификации участка как потенциально радоноопасного окончательное решение о необходимости противорадоновой защиты принимается органами Роспотребнадзора на основании заключения специализированной экспертной организации.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(исключить последний абзац в п. 8.4.18)</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 xml:space="preserve">8.4.18 </w:t>
      </w:r>
      <w:r w:rsidRPr="00D6449F">
        <w:rPr>
          <w:rFonts w:ascii="Times New Roman" w:eastAsia="Times New Roman" w:hAnsi="Times New Roman" w:cs="Times New Roman"/>
          <w:b/>
          <w:bCs/>
          <w:sz w:val="24"/>
          <w:szCs w:val="24"/>
          <w:lang w:eastAsia="ru-RU"/>
        </w:rPr>
        <w:t>Радиационно-экологические исследования</w:t>
      </w:r>
      <w:r w:rsidRPr="00D6449F">
        <w:rPr>
          <w:rFonts w:ascii="Times New Roman" w:eastAsia="Times New Roman" w:hAnsi="Times New Roman" w:cs="Times New Roman"/>
          <w:sz w:val="24"/>
          <w:szCs w:val="24"/>
          <w:lang w:eastAsia="ru-RU"/>
        </w:rPr>
        <w:t xml:space="preserve"> при обосновании проектной документации выполняют с целью получения данных, необходимых для разработки соответствующих разделов проекта.</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При этом территория исследований должна быть подвергнута, по возможности, сплошному радиометрическому прослушиванию. Определение мощности дозы гамма-излучения выполняют в контрольных точках, расположенных в узлах сети с шагом не менее 30x30 м (но не менее пяти точек на участок), а также в точках с наиболее характерными и максимальными показаниями поисковых радиометров. В случае обнаружения радиоактивного загрязнения следует незамедлительно поставить в известность местные органы власти.</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Для определения удельной активности радионуклидов в грунтах, перемещаемых в ходе строительства, следует проводить послойный отбор проб из скважин до глубины проектируемой отметки подошвы фундамента. Определение удельной активности проводят по ГОСТ 30108.</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Оценку потенциальной радоноопасности на данном этапе проводят на основе непосредственных измерений плотности потока радона с поверхности грунта в пределах габаритов проектируемых сооружений. Точки измерения плотности потока радона должны располагаться в узлах сети с шагом не более 10x10 м, но не менее 10 точек на участке. При расстановке точек измерений плотности потока радона необходимо учитывать наличие на исследуемой территории разрывных нарушений, геодинамически активных зон, зон трещиноватости или линеаментов, являющихся основным условием формирования повышенных потоков радона из массива пород.</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ИЗМЕНЕНИЕ № 1</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Пункт 8.5.2 перед последним абзацем добавить абзац:</w:t>
      </w:r>
    </w:p>
    <w:p w:rsidR="00D6449F" w:rsidRPr="00D6449F" w:rsidRDefault="00D6449F" w:rsidP="00D6449F">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6449F">
        <w:rPr>
          <w:rFonts w:ascii="Times New Roman" w:eastAsia="Times New Roman" w:hAnsi="Times New Roman" w:cs="Times New Roman"/>
          <w:sz w:val="24"/>
          <w:szCs w:val="24"/>
          <w:lang w:eastAsia="ru-RU"/>
        </w:rPr>
        <w:t>«Допускается составлять единую карту (инженерно-экологическую) современного экологического состояния территории с элементами прогноза, а также выносить часть информации на вспомогательные карты (схемы)».</w:t>
      </w:r>
    </w:p>
    <w:p w:rsidR="00225CCF" w:rsidRDefault="00225CCF" w:rsidP="00D6449F">
      <w:pPr>
        <w:ind w:firstLine="993"/>
        <w:jc w:val="both"/>
      </w:pPr>
    </w:p>
    <w:sectPr w:rsidR="00225CC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45" w:rsidRDefault="00810A45" w:rsidP="00D6449F">
      <w:pPr>
        <w:spacing w:after="0" w:line="240" w:lineRule="auto"/>
      </w:pPr>
      <w:r>
        <w:separator/>
      </w:r>
    </w:p>
  </w:endnote>
  <w:endnote w:type="continuationSeparator" w:id="0">
    <w:p w:rsidR="00810A45" w:rsidRDefault="00810A45" w:rsidP="00D6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9F" w:rsidRDefault="00D6449F">
    <w:pPr>
      <w:pStyle w:val="a5"/>
      <w:pBdr>
        <w:top w:val="thinThickSmallGap" w:sz="24" w:space="1" w:color="622423" w:themeColor="accent2" w:themeShade="7F"/>
      </w:pBdr>
      <w:rPr>
        <w:rFonts w:asciiTheme="majorHAnsi" w:eastAsiaTheme="majorEastAsia" w:hAnsiTheme="majorHAnsi" w:cstheme="majorBidi"/>
      </w:rPr>
    </w:pPr>
    <w:r w:rsidRPr="00D6449F">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810A45" w:rsidRPr="00810A4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D6449F" w:rsidRDefault="00D644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45" w:rsidRDefault="00810A45" w:rsidP="00D6449F">
      <w:pPr>
        <w:spacing w:after="0" w:line="240" w:lineRule="auto"/>
      </w:pPr>
      <w:r>
        <w:separator/>
      </w:r>
    </w:p>
  </w:footnote>
  <w:footnote w:type="continuationSeparator" w:id="0">
    <w:p w:rsidR="00810A45" w:rsidRDefault="00810A45" w:rsidP="00D64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80"/>
    <w:rsid w:val="00225CCF"/>
    <w:rsid w:val="004200FC"/>
    <w:rsid w:val="00434B80"/>
    <w:rsid w:val="007117AB"/>
    <w:rsid w:val="00810A45"/>
    <w:rsid w:val="00BA4A01"/>
    <w:rsid w:val="00D32DCE"/>
    <w:rsid w:val="00D6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4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49F"/>
  </w:style>
  <w:style w:type="paragraph" w:styleId="a5">
    <w:name w:val="footer"/>
    <w:basedOn w:val="a"/>
    <w:link w:val="a6"/>
    <w:uiPriority w:val="99"/>
    <w:unhideWhenUsed/>
    <w:rsid w:val="00D644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4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49F"/>
  </w:style>
  <w:style w:type="paragraph" w:styleId="a5">
    <w:name w:val="footer"/>
    <w:basedOn w:val="a"/>
    <w:link w:val="a6"/>
    <w:uiPriority w:val="99"/>
    <w:unhideWhenUsed/>
    <w:rsid w:val="00D644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18318">
      <w:bodyDiv w:val="1"/>
      <w:marLeft w:val="0"/>
      <w:marRight w:val="0"/>
      <w:marTop w:val="0"/>
      <w:marBottom w:val="0"/>
      <w:divBdr>
        <w:top w:val="none" w:sz="0" w:space="0" w:color="auto"/>
        <w:left w:val="none" w:sz="0" w:space="0" w:color="auto"/>
        <w:bottom w:val="none" w:sz="0" w:space="0" w:color="auto"/>
        <w:right w:val="none" w:sz="0" w:space="0" w:color="auto"/>
      </w:divBdr>
      <w:divsChild>
        <w:div w:id="726756210">
          <w:marLeft w:val="0"/>
          <w:marRight w:val="0"/>
          <w:marTop w:val="0"/>
          <w:marBottom w:val="0"/>
          <w:divBdr>
            <w:top w:val="none" w:sz="0" w:space="0" w:color="auto"/>
            <w:left w:val="none" w:sz="0" w:space="0" w:color="auto"/>
            <w:bottom w:val="none" w:sz="0" w:space="0" w:color="auto"/>
            <w:right w:val="none" w:sz="0" w:space="0" w:color="auto"/>
          </w:divBdr>
        </w:div>
        <w:div w:id="1088501215">
          <w:marLeft w:val="0"/>
          <w:marRight w:val="0"/>
          <w:marTop w:val="0"/>
          <w:marBottom w:val="0"/>
          <w:divBdr>
            <w:top w:val="none" w:sz="0" w:space="0" w:color="auto"/>
            <w:left w:val="none" w:sz="0" w:space="0" w:color="auto"/>
            <w:bottom w:val="none" w:sz="0" w:space="0" w:color="auto"/>
            <w:right w:val="none" w:sz="0" w:space="0" w:color="auto"/>
          </w:divBdr>
          <w:divsChild>
            <w:div w:id="647249577">
              <w:marLeft w:val="0"/>
              <w:marRight w:val="0"/>
              <w:marTop w:val="0"/>
              <w:marBottom w:val="0"/>
              <w:divBdr>
                <w:top w:val="none" w:sz="0" w:space="0" w:color="auto"/>
                <w:left w:val="none" w:sz="0" w:space="0" w:color="auto"/>
                <w:bottom w:val="none" w:sz="0" w:space="0" w:color="auto"/>
                <w:right w:val="none" w:sz="0" w:space="0" w:color="auto"/>
              </w:divBdr>
            </w:div>
            <w:div w:id="1861115978">
              <w:marLeft w:val="0"/>
              <w:marRight w:val="0"/>
              <w:marTop w:val="0"/>
              <w:marBottom w:val="0"/>
              <w:divBdr>
                <w:top w:val="none" w:sz="0" w:space="0" w:color="auto"/>
                <w:left w:val="none" w:sz="0" w:space="0" w:color="auto"/>
                <w:bottom w:val="none" w:sz="0" w:space="0" w:color="auto"/>
                <w:right w:val="none" w:sz="0" w:space="0" w:color="auto"/>
              </w:divBdr>
            </w:div>
            <w:div w:id="261377528">
              <w:marLeft w:val="0"/>
              <w:marRight w:val="0"/>
              <w:marTop w:val="0"/>
              <w:marBottom w:val="0"/>
              <w:divBdr>
                <w:top w:val="none" w:sz="0" w:space="0" w:color="auto"/>
                <w:left w:val="none" w:sz="0" w:space="0" w:color="auto"/>
                <w:bottom w:val="none" w:sz="0" w:space="0" w:color="auto"/>
                <w:right w:val="none" w:sz="0" w:space="0" w:color="auto"/>
              </w:divBdr>
            </w:div>
          </w:divsChild>
        </w:div>
        <w:div w:id="458497852">
          <w:marLeft w:val="0"/>
          <w:marRight w:val="0"/>
          <w:marTop w:val="0"/>
          <w:marBottom w:val="0"/>
          <w:divBdr>
            <w:top w:val="none" w:sz="0" w:space="0" w:color="auto"/>
            <w:left w:val="none" w:sz="0" w:space="0" w:color="auto"/>
            <w:bottom w:val="none" w:sz="0" w:space="0" w:color="auto"/>
            <w:right w:val="none" w:sz="0" w:space="0" w:color="auto"/>
          </w:divBdr>
          <w:divsChild>
            <w:div w:id="1248690080">
              <w:marLeft w:val="0"/>
              <w:marRight w:val="0"/>
              <w:marTop w:val="0"/>
              <w:marBottom w:val="0"/>
              <w:divBdr>
                <w:top w:val="none" w:sz="0" w:space="0" w:color="auto"/>
                <w:left w:val="none" w:sz="0" w:space="0" w:color="auto"/>
                <w:bottom w:val="none" w:sz="0" w:space="0" w:color="auto"/>
                <w:right w:val="none" w:sz="0" w:space="0" w:color="auto"/>
              </w:divBdr>
            </w:div>
            <w:div w:id="1268928753">
              <w:marLeft w:val="0"/>
              <w:marRight w:val="0"/>
              <w:marTop w:val="0"/>
              <w:marBottom w:val="0"/>
              <w:divBdr>
                <w:top w:val="none" w:sz="0" w:space="0" w:color="auto"/>
                <w:left w:val="none" w:sz="0" w:space="0" w:color="auto"/>
                <w:bottom w:val="none" w:sz="0" w:space="0" w:color="auto"/>
                <w:right w:val="none" w:sz="0" w:space="0" w:color="auto"/>
              </w:divBdr>
            </w:div>
            <w:div w:id="1230313468">
              <w:marLeft w:val="0"/>
              <w:marRight w:val="0"/>
              <w:marTop w:val="0"/>
              <w:marBottom w:val="0"/>
              <w:divBdr>
                <w:top w:val="none" w:sz="0" w:space="0" w:color="auto"/>
                <w:left w:val="none" w:sz="0" w:space="0" w:color="auto"/>
                <w:bottom w:val="none" w:sz="0" w:space="0" w:color="auto"/>
                <w:right w:val="none" w:sz="0" w:space="0" w:color="auto"/>
              </w:divBdr>
            </w:div>
            <w:div w:id="1011222227">
              <w:marLeft w:val="0"/>
              <w:marRight w:val="0"/>
              <w:marTop w:val="0"/>
              <w:marBottom w:val="0"/>
              <w:divBdr>
                <w:top w:val="none" w:sz="0" w:space="0" w:color="auto"/>
                <w:left w:val="none" w:sz="0" w:space="0" w:color="auto"/>
                <w:bottom w:val="none" w:sz="0" w:space="0" w:color="auto"/>
                <w:right w:val="none" w:sz="0" w:space="0" w:color="auto"/>
              </w:divBdr>
            </w:div>
            <w:div w:id="1344630516">
              <w:marLeft w:val="0"/>
              <w:marRight w:val="0"/>
              <w:marTop w:val="0"/>
              <w:marBottom w:val="0"/>
              <w:divBdr>
                <w:top w:val="none" w:sz="0" w:space="0" w:color="auto"/>
                <w:left w:val="none" w:sz="0" w:space="0" w:color="auto"/>
                <w:bottom w:val="none" w:sz="0" w:space="0" w:color="auto"/>
                <w:right w:val="none" w:sz="0" w:space="0" w:color="auto"/>
              </w:divBdr>
            </w:div>
            <w:div w:id="517234975">
              <w:marLeft w:val="0"/>
              <w:marRight w:val="0"/>
              <w:marTop w:val="0"/>
              <w:marBottom w:val="0"/>
              <w:divBdr>
                <w:top w:val="none" w:sz="0" w:space="0" w:color="auto"/>
                <w:left w:val="none" w:sz="0" w:space="0" w:color="auto"/>
                <w:bottom w:val="none" w:sz="0" w:space="0" w:color="auto"/>
                <w:right w:val="none" w:sz="0" w:space="0" w:color="auto"/>
              </w:divBdr>
            </w:div>
            <w:div w:id="389839779">
              <w:marLeft w:val="0"/>
              <w:marRight w:val="0"/>
              <w:marTop w:val="0"/>
              <w:marBottom w:val="0"/>
              <w:divBdr>
                <w:top w:val="none" w:sz="0" w:space="0" w:color="auto"/>
                <w:left w:val="none" w:sz="0" w:space="0" w:color="auto"/>
                <w:bottom w:val="none" w:sz="0" w:space="0" w:color="auto"/>
                <w:right w:val="none" w:sz="0" w:space="0" w:color="auto"/>
              </w:divBdr>
            </w:div>
            <w:div w:id="1044603291">
              <w:marLeft w:val="0"/>
              <w:marRight w:val="0"/>
              <w:marTop w:val="0"/>
              <w:marBottom w:val="0"/>
              <w:divBdr>
                <w:top w:val="none" w:sz="0" w:space="0" w:color="auto"/>
                <w:left w:val="none" w:sz="0" w:space="0" w:color="auto"/>
                <w:bottom w:val="none" w:sz="0" w:space="0" w:color="auto"/>
                <w:right w:val="none" w:sz="0" w:space="0" w:color="auto"/>
              </w:divBdr>
            </w:div>
            <w:div w:id="495340733">
              <w:marLeft w:val="0"/>
              <w:marRight w:val="0"/>
              <w:marTop w:val="0"/>
              <w:marBottom w:val="0"/>
              <w:divBdr>
                <w:top w:val="none" w:sz="0" w:space="0" w:color="auto"/>
                <w:left w:val="none" w:sz="0" w:space="0" w:color="auto"/>
                <w:bottom w:val="none" w:sz="0" w:space="0" w:color="auto"/>
                <w:right w:val="none" w:sz="0" w:space="0" w:color="auto"/>
              </w:divBdr>
            </w:div>
            <w:div w:id="126316784">
              <w:marLeft w:val="0"/>
              <w:marRight w:val="0"/>
              <w:marTop w:val="0"/>
              <w:marBottom w:val="0"/>
              <w:divBdr>
                <w:top w:val="none" w:sz="0" w:space="0" w:color="auto"/>
                <w:left w:val="none" w:sz="0" w:space="0" w:color="auto"/>
                <w:bottom w:val="none" w:sz="0" w:space="0" w:color="auto"/>
                <w:right w:val="none" w:sz="0" w:space="0" w:color="auto"/>
              </w:divBdr>
            </w:div>
            <w:div w:id="1501502423">
              <w:marLeft w:val="0"/>
              <w:marRight w:val="0"/>
              <w:marTop w:val="0"/>
              <w:marBottom w:val="0"/>
              <w:divBdr>
                <w:top w:val="none" w:sz="0" w:space="0" w:color="auto"/>
                <w:left w:val="none" w:sz="0" w:space="0" w:color="auto"/>
                <w:bottom w:val="none" w:sz="0" w:space="0" w:color="auto"/>
                <w:right w:val="none" w:sz="0" w:space="0" w:color="auto"/>
              </w:divBdr>
            </w:div>
            <w:div w:id="610552858">
              <w:marLeft w:val="0"/>
              <w:marRight w:val="0"/>
              <w:marTop w:val="0"/>
              <w:marBottom w:val="0"/>
              <w:divBdr>
                <w:top w:val="none" w:sz="0" w:space="0" w:color="auto"/>
                <w:left w:val="none" w:sz="0" w:space="0" w:color="auto"/>
                <w:bottom w:val="none" w:sz="0" w:space="0" w:color="auto"/>
                <w:right w:val="none" w:sz="0" w:space="0" w:color="auto"/>
              </w:divBdr>
            </w:div>
            <w:div w:id="475689479">
              <w:marLeft w:val="0"/>
              <w:marRight w:val="0"/>
              <w:marTop w:val="0"/>
              <w:marBottom w:val="0"/>
              <w:divBdr>
                <w:top w:val="none" w:sz="0" w:space="0" w:color="auto"/>
                <w:left w:val="none" w:sz="0" w:space="0" w:color="auto"/>
                <w:bottom w:val="none" w:sz="0" w:space="0" w:color="auto"/>
                <w:right w:val="none" w:sz="0" w:space="0" w:color="auto"/>
              </w:divBdr>
            </w:div>
            <w:div w:id="467282607">
              <w:marLeft w:val="0"/>
              <w:marRight w:val="0"/>
              <w:marTop w:val="0"/>
              <w:marBottom w:val="0"/>
              <w:divBdr>
                <w:top w:val="none" w:sz="0" w:space="0" w:color="auto"/>
                <w:left w:val="none" w:sz="0" w:space="0" w:color="auto"/>
                <w:bottom w:val="none" w:sz="0" w:space="0" w:color="auto"/>
                <w:right w:val="none" w:sz="0" w:space="0" w:color="auto"/>
              </w:divBdr>
            </w:div>
            <w:div w:id="1508056950">
              <w:marLeft w:val="0"/>
              <w:marRight w:val="0"/>
              <w:marTop w:val="0"/>
              <w:marBottom w:val="0"/>
              <w:divBdr>
                <w:top w:val="none" w:sz="0" w:space="0" w:color="auto"/>
                <w:left w:val="none" w:sz="0" w:space="0" w:color="auto"/>
                <w:bottom w:val="none" w:sz="0" w:space="0" w:color="auto"/>
                <w:right w:val="none" w:sz="0" w:space="0" w:color="auto"/>
              </w:divBdr>
            </w:div>
            <w:div w:id="896168718">
              <w:marLeft w:val="0"/>
              <w:marRight w:val="0"/>
              <w:marTop w:val="0"/>
              <w:marBottom w:val="0"/>
              <w:divBdr>
                <w:top w:val="none" w:sz="0" w:space="0" w:color="auto"/>
                <w:left w:val="none" w:sz="0" w:space="0" w:color="auto"/>
                <w:bottom w:val="none" w:sz="0" w:space="0" w:color="auto"/>
                <w:right w:val="none" w:sz="0" w:space="0" w:color="auto"/>
              </w:divBdr>
            </w:div>
            <w:div w:id="2010907165">
              <w:marLeft w:val="0"/>
              <w:marRight w:val="0"/>
              <w:marTop w:val="0"/>
              <w:marBottom w:val="0"/>
              <w:divBdr>
                <w:top w:val="none" w:sz="0" w:space="0" w:color="auto"/>
                <w:left w:val="none" w:sz="0" w:space="0" w:color="auto"/>
                <w:bottom w:val="none" w:sz="0" w:space="0" w:color="auto"/>
                <w:right w:val="none" w:sz="0" w:space="0" w:color="auto"/>
              </w:divBdr>
            </w:div>
            <w:div w:id="283537105">
              <w:marLeft w:val="0"/>
              <w:marRight w:val="0"/>
              <w:marTop w:val="0"/>
              <w:marBottom w:val="0"/>
              <w:divBdr>
                <w:top w:val="none" w:sz="0" w:space="0" w:color="auto"/>
                <w:left w:val="none" w:sz="0" w:space="0" w:color="auto"/>
                <w:bottom w:val="none" w:sz="0" w:space="0" w:color="auto"/>
                <w:right w:val="none" w:sz="0" w:space="0" w:color="auto"/>
              </w:divBdr>
            </w:div>
            <w:div w:id="2078242672">
              <w:marLeft w:val="0"/>
              <w:marRight w:val="0"/>
              <w:marTop w:val="0"/>
              <w:marBottom w:val="0"/>
              <w:divBdr>
                <w:top w:val="none" w:sz="0" w:space="0" w:color="auto"/>
                <w:left w:val="none" w:sz="0" w:space="0" w:color="auto"/>
                <w:bottom w:val="none" w:sz="0" w:space="0" w:color="auto"/>
                <w:right w:val="none" w:sz="0" w:space="0" w:color="auto"/>
              </w:divBdr>
            </w:div>
            <w:div w:id="101073868">
              <w:marLeft w:val="0"/>
              <w:marRight w:val="0"/>
              <w:marTop w:val="0"/>
              <w:marBottom w:val="0"/>
              <w:divBdr>
                <w:top w:val="none" w:sz="0" w:space="0" w:color="auto"/>
                <w:left w:val="none" w:sz="0" w:space="0" w:color="auto"/>
                <w:bottom w:val="none" w:sz="0" w:space="0" w:color="auto"/>
                <w:right w:val="none" w:sz="0" w:space="0" w:color="auto"/>
              </w:divBdr>
            </w:div>
            <w:div w:id="342515443">
              <w:marLeft w:val="0"/>
              <w:marRight w:val="0"/>
              <w:marTop w:val="0"/>
              <w:marBottom w:val="0"/>
              <w:divBdr>
                <w:top w:val="none" w:sz="0" w:space="0" w:color="auto"/>
                <w:left w:val="none" w:sz="0" w:space="0" w:color="auto"/>
                <w:bottom w:val="none" w:sz="0" w:space="0" w:color="auto"/>
                <w:right w:val="none" w:sz="0" w:space="0" w:color="auto"/>
              </w:divBdr>
            </w:div>
            <w:div w:id="919365202">
              <w:marLeft w:val="0"/>
              <w:marRight w:val="0"/>
              <w:marTop w:val="0"/>
              <w:marBottom w:val="0"/>
              <w:divBdr>
                <w:top w:val="none" w:sz="0" w:space="0" w:color="auto"/>
                <w:left w:val="none" w:sz="0" w:space="0" w:color="auto"/>
                <w:bottom w:val="none" w:sz="0" w:space="0" w:color="auto"/>
                <w:right w:val="none" w:sz="0" w:space="0" w:color="auto"/>
              </w:divBdr>
            </w:div>
            <w:div w:id="96874883">
              <w:marLeft w:val="0"/>
              <w:marRight w:val="0"/>
              <w:marTop w:val="0"/>
              <w:marBottom w:val="0"/>
              <w:divBdr>
                <w:top w:val="none" w:sz="0" w:space="0" w:color="auto"/>
                <w:left w:val="none" w:sz="0" w:space="0" w:color="auto"/>
                <w:bottom w:val="none" w:sz="0" w:space="0" w:color="auto"/>
                <w:right w:val="none" w:sz="0" w:space="0" w:color="auto"/>
              </w:divBdr>
            </w:div>
            <w:div w:id="123080079">
              <w:marLeft w:val="0"/>
              <w:marRight w:val="0"/>
              <w:marTop w:val="0"/>
              <w:marBottom w:val="0"/>
              <w:divBdr>
                <w:top w:val="none" w:sz="0" w:space="0" w:color="auto"/>
                <w:left w:val="none" w:sz="0" w:space="0" w:color="auto"/>
                <w:bottom w:val="none" w:sz="0" w:space="0" w:color="auto"/>
                <w:right w:val="none" w:sz="0" w:space="0" w:color="auto"/>
              </w:divBdr>
            </w:div>
            <w:div w:id="1032076548">
              <w:marLeft w:val="0"/>
              <w:marRight w:val="0"/>
              <w:marTop w:val="0"/>
              <w:marBottom w:val="0"/>
              <w:divBdr>
                <w:top w:val="none" w:sz="0" w:space="0" w:color="auto"/>
                <w:left w:val="none" w:sz="0" w:space="0" w:color="auto"/>
                <w:bottom w:val="none" w:sz="0" w:space="0" w:color="auto"/>
                <w:right w:val="none" w:sz="0" w:space="0" w:color="auto"/>
              </w:divBdr>
            </w:div>
            <w:div w:id="1391998569">
              <w:marLeft w:val="0"/>
              <w:marRight w:val="0"/>
              <w:marTop w:val="0"/>
              <w:marBottom w:val="0"/>
              <w:divBdr>
                <w:top w:val="none" w:sz="0" w:space="0" w:color="auto"/>
                <w:left w:val="none" w:sz="0" w:space="0" w:color="auto"/>
                <w:bottom w:val="none" w:sz="0" w:space="0" w:color="auto"/>
                <w:right w:val="none" w:sz="0" w:space="0" w:color="auto"/>
              </w:divBdr>
            </w:div>
            <w:div w:id="1631939261">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49109944">
              <w:marLeft w:val="0"/>
              <w:marRight w:val="0"/>
              <w:marTop w:val="0"/>
              <w:marBottom w:val="0"/>
              <w:divBdr>
                <w:top w:val="none" w:sz="0" w:space="0" w:color="auto"/>
                <w:left w:val="none" w:sz="0" w:space="0" w:color="auto"/>
                <w:bottom w:val="none" w:sz="0" w:space="0" w:color="auto"/>
                <w:right w:val="none" w:sz="0" w:space="0" w:color="auto"/>
              </w:divBdr>
            </w:div>
            <w:div w:id="965741809">
              <w:marLeft w:val="0"/>
              <w:marRight w:val="0"/>
              <w:marTop w:val="0"/>
              <w:marBottom w:val="0"/>
              <w:divBdr>
                <w:top w:val="none" w:sz="0" w:space="0" w:color="auto"/>
                <w:left w:val="none" w:sz="0" w:space="0" w:color="auto"/>
                <w:bottom w:val="none" w:sz="0" w:space="0" w:color="auto"/>
                <w:right w:val="none" w:sz="0" w:space="0" w:color="auto"/>
              </w:divBdr>
            </w:div>
            <w:div w:id="201524822">
              <w:marLeft w:val="0"/>
              <w:marRight w:val="0"/>
              <w:marTop w:val="0"/>
              <w:marBottom w:val="0"/>
              <w:divBdr>
                <w:top w:val="none" w:sz="0" w:space="0" w:color="auto"/>
                <w:left w:val="none" w:sz="0" w:space="0" w:color="auto"/>
                <w:bottom w:val="none" w:sz="0" w:space="0" w:color="auto"/>
                <w:right w:val="none" w:sz="0" w:space="0" w:color="auto"/>
              </w:divBdr>
            </w:div>
            <w:div w:id="297805970">
              <w:marLeft w:val="0"/>
              <w:marRight w:val="0"/>
              <w:marTop w:val="0"/>
              <w:marBottom w:val="0"/>
              <w:divBdr>
                <w:top w:val="none" w:sz="0" w:space="0" w:color="auto"/>
                <w:left w:val="none" w:sz="0" w:space="0" w:color="auto"/>
                <w:bottom w:val="none" w:sz="0" w:space="0" w:color="auto"/>
                <w:right w:val="none" w:sz="0" w:space="0" w:color="auto"/>
              </w:divBdr>
            </w:div>
            <w:div w:id="20851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4372</Words>
  <Characters>24925</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Изменение № 1 СП 47.13330.2012</vt:lpstr>
      <vt:lpstr>«Инженерные изыскания для строительства.</vt:lpstr>
      <vt:lpstr>Основные положения. Актуализированная редакция СНиП 11-02-96»</vt:lpstr>
    </vt:vector>
  </TitlesOfParts>
  <Company>Microsoft Corporation</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4</cp:revision>
  <dcterms:created xsi:type="dcterms:W3CDTF">2014-08-06T04:50:00Z</dcterms:created>
  <dcterms:modified xsi:type="dcterms:W3CDTF">2014-08-06T05:01:00Z</dcterms:modified>
</cp:coreProperties>
</file>